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B64B7D" w:rsidRDefault="00742C7F">
      <w:pPr>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Doložka vybraných vplyvov</w:t>
      </w:r>
    </w:p>
    <w:p w14:paraId="00000002" w14:textId="77777777" w:rsidR="00B64B7D" w:rsidRDefault="00B64B7D">
      <w:pPr>
        <w:spacing w:after="0" w:line="240" w:lineRule="auto"/>
        <w:jc w:val="center"/>
        <w:rPr>
          <w:rFonts w:ascii="Times New Roman" w:eastAsia="Times New Roman" w:hAnsi="Times New Roman" w:cs="Times New Roman"/>
          <w:b/>
          <w:sz w:val="28"/>
          <w:szCs w:val="28"/>
        </w:rPr>
      </w:pPr>
    </w:p>
    <w:p w14:paraId="00000003" w14:textId="77777777" w:rsidR="00B64B7D" w:rsidRDefault="00B64B7D">
      <w:pPr>
        <w:spacing w:after="200" w:line="276" w:lineRule="auto"/>
        <w:ind w:left="426"/>
        <w:rPr>
          <w:b/>
        </w:rPr>
      </w:pPr>
    </w:p>
    <w:tbl>
      <w:tblPr>
        <w:tblStyle w:val="a"/>
        <w:tblW w:w="917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811"/>
        <w:gridCol w:w="400"/>
        <w:gridCol w:w="141"/>
        <w:gridCol w:w="564"/>
        <w:gridCol w:w="748"/>
        <w:gridCol w:w="284"/>
        <w:gridCol w:w="254"/>
        <w:gridCol w:w="1133"/>
        <w:gridCol w:w="284"/>
        <w:gridCol w:w="263"/>
        <w:gridCol w:w="1297"/>
      </w:tblGrid>
      <w:tr w:rsidR="00B64B7D" w14:paraId="3CD4761E" w14:textId="77777777">
        <w:tc>
          <w:tcPr>
            <w:tcW w:w="9180" w:type="dxa"/>
            <w:gridSpan w:val="11"/>
            <w:tcBorders>
              <w:bottom w:val="single" w:sz="4" w:space="0" w:color="FFFFFF"/>
            </w:tcBorders>
            <w:shd w:val="clear" w:color="auto" w:fill="E2E2E2"/>
          </w:tcPr>
          <w:p w14:paraId="00000004" w14:textId="77777777" w:rsidR="00B64B7D" w:rsidRDefault="00742C7F">
            <w:pPr>
              <w:numPr>
                <w:ilvl w:val="0"/>
                <w:numId w:val="1"/>
              </w:numPr>
              <w:ind w:left="426"/>
              <w:rPr>
                <w:rFonts w:ascii="Times New Roman" w:eastAsia="Times New Roman" w:hAnsi="Times New Roman" w:cs="Times New Roman"/>
                <w:b/>
              </w:rPr>
            </w:pPr>
            <w:r>
              <w:rPr>
                <w:rFonts w:ascii="Times New Roman" w:eastAsia="Times New Roman" w:hAnsi="Times New Roman" w:cs="Times New Roman"/>
                <w:b/>
              </w:rPr>
              <w:t>Základné údaje</w:t>
            </w:r>
          </w:p>
        </w:tc>
      </w:tr>
      <w:tr w:rsidR="00B64B7D" w14:paraId="3DC43C5C" w14:textId="77777777">
        <w:tc>
          <w:tcPr>
            <w:tcW w:w="9180" w:type="dxa"/>
            <w:gridSpan w:val="11"/>
            <w:tcBorders>
              <w:bottom w:val="single" w:sz="4" w:space="0" w:color="FFFFFF"/>
            </w:tcBorders>
            <w:shd w:val="clear" w:color="auto" w:fill="E2E2E2"/>
          </w:tcPr>
          <w:p w14:paraId="0000000F" w14:textId="77777777" w:rsidR="00B64B7D" w:rsidRDefault="00742C7F">
            <w:pPr>
              <w:spacing w:after="200" w:line="276" w:lineRule="auto"/>
              <w:ind w:left="142"/>
              <w:rPr>
                <w:rFonts w:ascii="Times New Roman" w:eastAsia="Times New Roman" w:hAnsi="Times New Roman" w:cs="Times New Roman"/>
                <w:b/>
              </w:rPr>
            </w:pPr>
            <w:r>
              <w:rPr>
                <w:rFonts w:ascii="Times New Roman" w:eastAsia="Times New Roman" w:hAnsi="Times New Roman" w:cs="Times New Roman"/>
                <w:b/>
              </w:rPr>
              <w:t>Názov materiálu</w:t>
            </w:r>
          </w:p>
        </w:tc>
      </w:tr>
      <w:tr w:rsidR="00B64B7D" w14:paraId="2C4C58A2" w14:textId="77777777">
        <w:tc>
          <w:tcPr>
            <w:tcW w:w="9180" w:type="dxa"/>
            <w:gridSpan w:val="11"/>
            <w:tcBorders>
              <w:top w:val="single" w:sz="4" w:space="0" w:color="FFFFFF"/>
              <w:bottom w:val="single" w:sz="4" w:space="0" w:color="000000"/>
            </w:tcBorders>
          </w:tcPr>
          <w:p w14:paraId="0000001A" w14:textId="77777777" w:rsidR="00B64B7D" w:rsidRDefault="00742C7F">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Návrh zákona, ktorým sa mení a dopĺňa zákon č. 355/2007 Z. z. o ochrane, podpore a rozvoji verejného zdravia a o zmene a doplnení niektorých zákonov v znení neskorších predpisov a ktorým sa  menia a dopĺňajú niektoré zákony (ďalej len „návrh zákona“)</w:t>
            </w:r>
          </w:p>
          <w:p w14:paraId="0000001B" w14:textId="77777777" w:rsidR="00B64B7D" w:rsidRDefault="00B64B7D">
            <w:pPr>
              <w:rPr>
                <w:rFonts w:ascii="Times New Roman" w:eastAsia="Times New Roman" w:hAnsi="Times New Roman" w:cs="Times New Roman"/>
                <w:sz w:val="20"/>
                <w:szCs w:val="20"/>
              </w:rPr>
            </w:pPr>
          </w:p>
        </w:tc>
      </w:tr>
      <w:tr w:rsidR="00B64B7D" w14:paraId="07F11612" w14:textId="77777777">
        <w:tc>
          <w:tcPr>
            <w:tcW w:w="9180" w:type="dxa"/>
            <w:gridSpan w:val="11"/>
            <w:tcBorders>
              <w:top w:val="single" w:sz="4" w:space="0" w:color="000000"/>
              <w:left w:val="single" w:sz="4" w:space="0" w:color="000000"/>
              <w:bottom w:val="single" w:sz="4" w:space="0" w:color="FFFFFF"/>
            </w:tcBorders>
            <w:shd w:val="clear" w:color="auto" w:fill="E2E2E2"/>
          </w:tcPr>
          <w:p w14:paraId="00000026" w14:textId="77777777" w:rsidR="00B64B7D" w:rsidRDefault="00742C7F">
            <w:pPr>
              <w:spacing w:after="200" w:line="276" w:lineRule="auto"/>
              <w:ind w:left="142"/>
              <w:rPr>
                <w:rFonts w:ascii="Times New Roman" w:eastAsia="Times New Roman" w:hAnsi="Times New Roman" w:cs="Times New Roman"/>
                <w:b/>
              </w:rPr>
            </w:pPr>
            <w:r>
              <w:rPr>
                <w:rFonts w:ascii="Times New Roman" w:eastAsia="Times New Roman" w:hAnsi="Times New Roman" w:cs="Times New Roman"/>
                <w:b/>
              </w:rPr>
              <w:t>Predkladateľ (a spolupredkladateľ)</w:t>
            </w:r>
          </w:p>
        </w:tc>
      </w:tr>
      <w:tr w:rsidR="00B64B7D" w14:paraId="46E87480" w14:textId="77777777">
        <w:tc>
          <w:tcPr>
            <w:tcW w:w="9180" w:type="dxa"/>
            <w:gridSpan w:val="11"/>
            <w:tcBorders>
              <w:top w:val="single" w:sz="4" w:space="0" w:color="FFFFFF"/>
              <w:left w:val="single" w:sz="4" w:space="0" w:color="000000"/>
              <w:bottom w:val="single" w:sz="4" w:space="0" w:color="000000"/>
            </w:tcBorders>
            <w:shd w:val="clear" w:color="auto" w:fill="FFFFFF"/>
          </w:tcPr>
          <w:p w14:paraId="00000031" w14:textId="538374FD" w:rsidR="00B64B7D" w:rsidRDefault="00954A73">
            <w:pPr>
              <w:spacing w:line="276" w:lineRule="auto"/>
              <w:rPr>
                <w:rFonts w:ascii="Times New Roman" w:eastAsia="Times New Roman" w:hAnsi="Times New Roman" w:cs="Times New Roman"/>
                <w:sz w:val="24"/>
                <w:szCs w:val="24"/>
              </w:rPr>
            </w:pPr>
            <w:r w:rsidRPr="00954A73">
              <w:rPr>
                <w:rFonts w:ascii="Times New Roman" w:eastAsia="Times New Roman" w:hAnsi="Times New Roman" w:cs="Times New Roman"/>
                <w:sz w:val="24"/>
                <w:szCs w:val="24"/>
              </w:rPr>
              <w:t>Vláda Slovenskej republiky</w:t>
            </w:r>
            <w:r w:rsidRPr="00954A73" w:rsidDel="00954A73">
              <w:rPr>
                <w:rFonts w:ascii="Times New Roman" w:eastAsia="Times New Roman" w:hAnsi="Times New Roman" w:cs="Times New Roman"/>
                <w:sz w:val="24"/>
                <w:szCs w:val="24"/>
              </w:rPr>
              <w:t xml:space="preserve"> </w:t>
            </w:r>
          </w:p>
          <w:p w14:paraId="00000032" w14:textId="77777777" w:rsidR="00B64B7D" w:rsidRDefault="00B64B7D">
            <w:pPr>
              <w:rPr>
                <w:rFonts w:ascii="Times New Roman" w:eastAsia="Times New Roman" w:hAnsi="Times New Roman" w:cs="Times New Roman"/>
                <w:sz w:val="20"/>
                <w:szCs w:val="20"/>
              </w:rPr>
            </w:pPr>
          </w:p>
        </w:tc>
      </w:tr>
      <w:tr w:rsidR="00B64B7D" w14:paraId="5ECA22AC" w14:textId="77777777">
        <w:tc>
          <w:tcPr>
            <w:tcW w:w="4212" w:type="dxa"/>
            <w:gridSpan w:val="2"/>
            <w:vMerge w:val="restart"/>
            <w:tcBorders>
              <w:top w:val="single" w:sz="4" w:space="0" w:color="000000"/>
              <w:left w:val="single" w:sz="4" w:space="0" w:color="000000"/>
              <w:bottom w:val="single" w:sz="4" w:space="0" w:color="FFFFFF"/>
            </w:tcBorders>
            <w:shd w:val="clear" w:color="auto" w:fill="E2E2E2"/>
            <w:vAlign w:val="center"/>
          </w:tcPr>
          <w:p w14:paraId="0000003D" w14:textId="77777777" w:rsidR="00B64B7D" w:rsidRDefault="00742C7F">
            <w:pPr>
              <w:spacing w:after="200" w:line="276" w:lineRule="auto"/>
              <w:ind w:left="142"/>
              <w:rPr>
                <w:rFonts w:ascii="Times New Roman" w:eastAsia="Times New Roman" w:hAnsi="Times New Roman" w:cs="Times New Roman"/>
                <w:b/>
              </w:rPr>
            </w:pPr>
            <w:r>
              <w:rPr>
                <w:rFonts w:ascii="Times New Roman" w:eastAsia="Times New Roman" w:hAnsi="Times New Roman" w:cs="Times New Roman"/>
                <w:b/>
              </w:rPr>
              <w:t>Charakter predkladaného materiálu</w:t>
            </w:r>
          </w:p>
        </w:tc>
        <w:tc>
          <w:tcPr>
            <w:tcW w:w="705" w:type="dxa"/>
            <w:gridSpan w:val="2"/>
            <w:tcBorders>
              <w:top w:val="single" w:sz="4" w:space="0" w:color="000000"/>
              <w:left w:val="single" w:sz="4" w:space="0" w:color="000000"/>
              <w:bottom w:val="single" w:sz="4" w:space="0" w:color="000000"/>
              <w:right w:val="nil"/>
            </w:tcBorders>
            <w:shd w:val="clear" w:color="auto" w:fill="FFFFFF"/>
          </w:tcPr>
          <w:p w14:paraId="0000003F" w14:textId="77777777" w:rsidR="00B64B7D" w:rsidRDefault="00742C7F">
            <w:pPr>
              <w:jc w:val="center"/>
              <w:rPr>
                <w:rFonts w:ascii="Times New Roman" w:eastAsia="Times New Roman" w:hAnsi="Times New Roman" w:cs="Times New Roman"/>
                <w:sz w:val="20"/>
                <w:szCs w:val="20"/>
              </w:rPr>
            </w:pPr>
            <w:r>
              <w:rPr>
                <w:rFonts w:ascii="MS Gothic" w:eastAsia="MS Gothic" w:hAnsi="MS Gothic" w:cs="MS Gothic"/>
                <w:sz w:val="20"/>
                <w:szCs w:val="20"/>
              </w:rPr>
              <w:t>☐</w:t>
            </w:r>
          </w:p>
        </w:tc>
        <w:tc>
          <w:tcPr>
            <w:tcW w:w="4263" w:type="dxa"/>
            <w:gridSpan w:val="7"/>
            <w:tcBorders>
              <w:top w:val="single" w:sz="4" w:space="0" w:color="000000"/>
              <w:left w:val="nil"/>
              <w:bottom w:val="single" w:sz="4" w:space="0" w:color="000000"/>
              <w:right w:val="single" w:sz="4" w:space="0" w:color="000000"/>
            </w:tcBorders>
            <w:shd w:val="clear" w:color="auto" w:fill="FFFFFF"/>
          </w:tcPr>
          <w:p w14:paraId="00000041" w14:textId="77777777" w:rsidR="00B64B7D" w:rsidRDefault="00742C7F">
            <w:pPr>
              <w:rPr>
                <w:rFonts w:ascii="Times New Roman" w:eastAsia="Times New Roman" w:hAnsi="Times New Roman" w:cs="Times New Roman"/>
                <w:sz w:val="20"/>
                <w:szCs w:val="20"/>
              </w:rPr>
            </w:pPr>
            <w:r>
              <w:rPr>
                <w:rFonts w:ascii="Times New Roman" w:eastAsia="Times New Roman" w:hAnsi="Times New Roman" w:cs="Times New Roman"/>
                <w:sz w:val="20"/>
                <w:szCs w:val="20"/>
              </w:rPr>
              <w:t>Materiál nelegislatívnej povahy</w:t>
            </w:r>
          </w:p>
        </w:tc>
      </w:tr>
      <w:tr w:rsidR="00B64B7D" w14:paraId="0BA107F7" w14:textId="77777777">
        <w:tc>
          <w:tcPr>
            <w:tcW w:w="4212" w:type="dxa"/>
            <w:gridSpan w:val="2"/>
            <w:vMerge/>
            <w:tcBorders>
              <w:top w:val="single" w:sz="4" w:space="0" w:color="000000"/>
              <w:left w:val="single" w:sz="4" w:space="0" w:color="000000"/>
              <w:bottom w:val="single" w:sz="4" w:space="0" w:color="FFFFFF"/>
            </w:tcBorders>
            <w:shd w:val="clear" w:color="auto" w:fill="E2E2E2"/>
            <w:vAlign w:val="center"/>
          </w:tcPr>
          <w:p w14:paraId="00000048" w14:textId="77777777" w:rsidR="00B64B7D" w:rsidRDefault="00B64B7D">
            <w:pPr>
              <w:widowControl w:val="0"/>
              <w:pBdr>
                <w:top w:val="nil"/>
                <w:left w:val="nil"/>
                <w:bottom w:val="nil"/>
                <w:right w:val="nil"/>
                <w:between w:val="nil"/>
              </w:pBdr>
              <w:spacing w:line="276" w:lineRule="auto"/>
              <w:rPr>
                <w:rFonts w:ascii="Times New Roman" w:eastAsia="Times New Roman" w:hAnsi="Times New Roman" w:cs="Times New Roman"/>
                <w:sz w:val="20"/>
                <w:szCs w:val="20"/>
              </w:rPr>
            </w:pPr>
          </w:p>
        </w:tc>
        <w:tc>
          <w:tcPr>
            <w:tcW w:w="705" w:type="dxa"/>
            <w:gridSpan w:val="2"/>
            <w:tcBorders>
              <w:top w:val="single" w:sz="4" w:space="0" w:color="000000"/>
              <w:left w:val="single" w:sz="4" w:space="0" w:color="000000"/>
              <w:bottom w:val="single" w:sz="4" w:space="0" w:color="000000"/>
              <w:right w:val="nil"/>
            </w:tcBorders>
            <w:shd w:val="clear" w:color="auto" w:fill="FFFFFF"/>
          </w:tcPr>
          <w:p w14:paraId="0000004A" w14:textId="77777777" w:rsidR="00B64B7D" w:rsidRDefault="00742C7F">
            <w:pPr>
              <w:jc w:val="center"/>
              <w:rPr>
                <w:rFonts w:ascii="Times New Roman" w:eastAsia="Times New Roman" w:hAnsi="Times New Roman" w:cs="Times New Roman"/>
                <w:sz w:val="20"/>
                <w:szCs w:val="20"/>
              </w:rPr>
            </w:pPr>
            <w:r>
              <w:rPr>
                <w:rFonts w:ascii="MS Gothic" w:eastAsia="MS Gothic" w:hAnsi="MS Gothic" w:cs="MS Gothic"/>
                <w:sz w:val="20"/>
                <w:szCs w:val="20"/>
              </w:rPr>
              <w:t>☒</w:t>
            </w:r>
          </w:p>
        </w:tc>
        <w:tc>
          <w:tcPr>
            <w:tcW w:w="4263" w:type="dxa"/>
            <w:gridSpan w:val="7"/>
            <w:tcBorders>
              <w:top w:val="single" w:sz="4" w:space="0" w:color="000000"/>
              <w:left w:val="nil"/>
              <w:bottom w:val="single" w:sz="4" w:space="0" w:color="000000"/>
            </w:tcBorders>
            <w:shd w:val="clear" w:color="auto" w:fill="FFFFFF"/>
          </w:tcPr>
          <w:p w14:paraId="0000004C" w14:textId="77777777" w:rsidR="00B64B7D" w:rsidRDefault="00742C7F">
            <w:pPr>
              <w:ind w:left="175" w:hanging="175"/>
              <w:rPr>
                <w:rFonts w:ascii="Times New Roman" w:eastAsia="Times New Roman" w:hAnsi="Times New Roman" w:cs="Times New Roman"/>
                <w:sz w:val="20"/>
                <w:szCs w:val="20"/>
              </w:rPr>
            </w:pPr>
            <w:r>
              <w:rPr>
                <w:rFonts w:ascii="Times New Roman" w:eastAsia="Times New Roman" w:hAnsi="Times New Roman" w:cs="Times New Roman"/>
                <w:sz w:val="20"/>
                <w:szCs w:val="20"/>
              </w:rPr>
              <w:t>Materiál legislatívnej povahy</w:t>
            </w:r>
          </w:p>
        </w:tc>
      </w:tr>
      <w:tr w:rsidR="00B64B7D" w14:paraId="3BBB3C4A" w14:textId="77777777">
        <w:tc>
          <w:tcPr>
            <w:tcW w:w="4212" w:type="dxa"/>
            <w:gridSpan w:val="2"/>
            <w:vMerge/>
            <w:tcBorders>
              <w:top w:val="single" w:sz="4" w:space="0" w:color="000000"/>
              <w:left w:val="single" w:sz="4" w:space="0" w:color="000000"/>
              <w:bottom w:val="single" w:sz="4" w:space="0" w:color="FFFFFF"/>
            </w:tcBorders>
            <w:shd w:val="clear" w:color="auto" w:fill="E2E2E2"/>
            <w:vAlign w:val="center"/>
          </w:tcPr>
          <w:p w14:paraId="00000053" w14:textId="77777777" w:rsidR="00B64B7D" w:rsidRDefault="00B64B7D">
            <w:pPr>
              <w:widowControl w:val="0"/>
              <w:pBdr>
                <w:top w:val="nil"/>
                <w:left w:val="nil"/>
                <w:bottom w:val="nil"/>
                <w:right w:val="nil"/>
                <w:between w:val="nil"/>
              </w:pBdr>
              <w:spacing w:line="276" w:lineRule="auto"/>
              <w:rPr>
                <w:rFonts w:ascii="Times New Roman" w:eastAsia="Times New Roman" w:hAnsi="Times New Roman" w:cs="Times New Roman"/>
                <w:sz w:val="20"/>
                <w:szCs w:val="20"/>
              </w:rPr>
            </w:pPr>
          </w:p>
        </w:tc>
        <w:tc>
          <w:tcPr>
            <w:tcW w:w="705" w:type="dxa"/>
            <w:gridSpan w:val="2"/>
            <w:tcBorders>
              <w:top w:val="single" w:sz="4" w:space="0" w:color="000000"/>
              <w:left w:val="single" w:sz="4" w:space="0" w:color="000000"/>
              <w:bottom w:val="single" w:sz="4" w:space="0" w:color="000000"/>
              <w:right w:val="nil"/>
            </w:tcBorders>
            <w:shd w:val="clear" w:color="auto" w:fill="FFFFFF"/>
          </w:tcPr>
          <w:p w14:paraId="00000055" w14:textId="77777777" w:rsidR="00B64B7D" w:rsidRDefault="00742C7F">
            <w:pPr>
              <w:jc w:val="center"/>
              <w:rPr>
                <w:rFonts w:ascii="Times New Roman" w:eastAsia="Times New Roman" w:hAnsi="Times New Roman" w:cs="Times New Roman"/>
                <w:sz w:val="20"/>
                <w:szCs w:val="20"/>
              </w:rPr>
            </w:pPr>
            <w:r>
              <w:rPr>
                <w:rFonts w:ascii="MS Gothic" w:eastAsia="MS Gothic" w:hAnsi="MS Gothic" w:cs="MS Gothic"/>
                <w:sz w:val="20"/>
                <w:szCs w:val="20"/>
              </w:rPr>
              <w:t>☒</w:t>
            </w:r>
          </w:p>
        </w:tc>
        <w:tc>
          <w:tcPr>
            <w:tcW w:w="4263" w:type="dxa"/>
            <w:gridSpan w:val="7"/>
            <w:tcBorders>
              <w:top w:val="single" w:sz="4" w:space="0" w:color="000000"/>
              <w:left w:val="nil"/>
              <w:bottom w:val="single" w:sz="4" w:space="0" w:color="000000"/>
            </w:tcBorders>
            <w:shd w:val="clear" w:color="auto" w:fill="FFFFFF"/>
          </w:tcPr>
          <w:p w14:paraId="00000057" w14:textId="77777777" w:rsidR="00B64B7D" w:rsidRDefault="00742C7F">
            <w:pPr>
              <w:rPr>
                <w:rFonts w:ascii="Times New Roman" w:eastAsia="Times New Roman" w:hAnsi="Times New Roman" w:cs="Times New Roman"/>
                <w:sz w:val="20"/>
                <w:szCs w:val="20"/>
              </w:rPr>
            </w:pPr>
            <w:r>
              <w:rPr>
                <w:rFonts w:ascii="Times New Roman" w:eastAsia="Times New Roman" w:hAnsi="Times New Roman" w:cs="Times New Roman"/>
                <w:sz w:val="20"/>
                <w:szCs w:val="20"/>
              </w:rPr>
              <w:t>Transpozícia/ implementácia práva EÚ</w:t>
            </w:r>
          </w:p>
        </w:tc>
      </w:tr>
      <w:tr w:rsidR="00B64B7D" w14:paraId="1904A725" w14:textId="77777777">
        <w:tc>
          <w:tcPr>
            <w:tcW w:w="9180" w:type="dxa"/>
            <w:gridSpan w:val="11"/>
            <w:tcBorders>
              <w:top w:val="single" w:sz="4" w:space="0" w:color="000000"/>
              <w:left w:val="single" w:sz="4" w:space="0" w:color="000000"/>
              <w:bottom w:val="single" w:sz="4" w:space="0" w:color="FFFFFF"/>
            </w:tcBorders>
            <w:shd w:val="clear" w:color="auto" w:fill="FFFFFF"/>
          </w:tcPr>
          <w:p w14:paraId="0000005E" w14:textId="1C346492" w:rsidR="00B64B7D" w:rsidRDefault="00000000">
            <w:pPr>
              <w:spacing w:line="276" w:lineRule="auto"/>
              <w:jc w:val="both"/>
              <w:rPr>
                <w:rFonts w:ascii="Times New Roman" w:eastAsia="Times New Roman" w:hAnsi="Times New Roman" w:cs="Times New Roman"/>
                <w:sz w:val="24"/>
                <w:szCs w:val="24"/>
              </w:rPr>
            </w:pPr>
            <w:sdt>
              <w:sdtPr>
                <w:tag w:val="goog_rdk_1"/>
                <w:id w:val="726461374"/>
              </w:sdtPr>
              <w:sdtContent>
                <w:sdt>
                  <w:sdtPr>
                    <w:tag w:val="goog_rdk_2"/>
                    <w:id w:val="-623882875"/>
                  </w:sdtPr>
                  <w:sdtContent>
                    <w:r w:rsidR="00742C7F" w:rsidRPr="002D556B">
                      <w:rPr>
                        <w:rFonts w:ascii="Times New Roman" w:eastAsia="Times New Roman" w:hAnsi="Times New Roman" w:cs="Times New Roman"/>
                        <w:sz w:val="24"/>
                        <w:szCs w:val="24"/>
                      </w:rPr>
                      <w:t>Smernica Európskeho parlamentu a Rady (EÚ) 2023/2668 z 22. novembra, ktorou sa mení smernica 2009/148/ES o ochrane pracovníkov pred rizikami z vystavenia účinkom azbestu pri práci (Ú. v. EÚ L, 2023/2668, 30.11.2023) (ďalej len „smernica (EÚ) 2023/2668“).</w:t>
                    </w:r>
                  </w:sdtContent>
                </w:sdt>
              </w:sdtContent>
            </w:sdt>
            <w:sdt>
              <w:sdtPr>
                <w:tag w:val="goog_rdk_3"/>
                <w:id w:val="-719969823"/>
              </w:sdtPr>
              <w:sdtContent>
                <w:sdt>
                  <w:sdtPr>
                    <w:tag w:val="goog_rdk_4"/>
                    <w:id w:val="-1606674960"/>
                    <w:showingPlcHdr/>
                  </w:sdtPr>
                  <w:sdtContent>
                    <w:r w:rsidR="002D556B">
                      <w:t xml:space="preserve">     </w:t>
                    </w:r>
                  </w:sdtContent>
                </w:sdt>
              </w:sdtContent>
            </w:sdt>
          </w:p>
          <w:p w14:paraId="0000005F" w14:textId="342C8BE7" w:rsidR="00B64B7D" w:rsidRDefault="00000000">
            <w:pPr>
              <w:spacing w:line="276" w:lineRule="auto"/>
              <w:jc w:val="both"/>
              <w:rPr>
                <w:rFonts w:ascii="Times New Roman" w:eastAsia="Times New Roman" w:hAnsi="Times New Roman" w:cs="Times New Roman"/>
                <w:sz w:val="24"/>
                <w:szCs w:val="24"/>
              </w:rPr>
            </w:pPr>
            <w:sdt>
              <w:sdtPr>
                <w:tag w:val="goog_rdk_6"/>
                <w:id w:val="1574238409"/>
              </w:sdtPr>
              <w:sdtContent>
                <w:sdt>
                  <w:sdtPr>
                    <w:tag w:val="goog_rdk_7"/>
                    <w:id w:val="390891141"/>
                  </w:sdtPr>
                  <w:sdtContent>
                    <w:r w:rsidR="00742C7F">
                      <w:rPr>
                        <w:rFonts w:ascii="Times New Roman" w:eastAsia="Times New Roman" w:hAnsi="Times New Roman" w:cs="Times New Roman"/>
                        <w:sz w:val="24"/>
                        <w:szCs w:val="24"/>
                      </w:rPr>
                      <w:t xml:space="preserve">Smernica Európskeho parlamentu a Rady (EÚ) 2024/869 z 13. marca 2024, ktorou sa mení smernica Európskeho parlamentu a Rady 2004/37/ES a smernica Rady 98/24/ES, pokiaľ ide o limitné hodnoty pre olovo a jeho anorganické zlúčeniny a pre </w:t>
                    </w:r>
                    <w:proofErr w:type="spellStart"/>
                    <w:r w:rsidR="00742C7F">
                      <w:rPr>
                        <w:rFonts w:ascii="Times New Roman" w:eastAsia="Times New Roman" w:hAnsi="Times New Roman" w:cs="Times New Roman"/>
                        <w:sz w:val="24"/>
                        <w:szCs w:val="24"/>
                      </w:rPr>
                      <w:t>diizokyanáty</w:t>
                    </w:r>
                    <w:proofErr w:type="spellEnd"/>
                    <w:r w:rsidR="00742C7F">
                      <w:rPr>
                        <w:rFonts w:ascii="Times New Roman" w:eastAsia="Times New Roman" w:hAnsi="Times New Roman" w:cs="Times New Roman"/>
                        <w:sz w:val="24"/>
                        <w:szCs w:val="24"/>
                      </w:rPr>
                      <w:t xml:space="preserve"> (Ú. v. EÚ L, 2024/869, 19.3.2024) (ďalej len „smernica (EÚ) 2024/869“).</w:t>
                    </w:r>
                  </w:sdtContent>
                </w:sdt>
              </w:sdtContent>
            </w:sdt>
            <w:sdt>
              <w:sdtPr>
                <w:tag w:val="goog_rdk_8"/>
                <w:id w:val="579083968"/>
              </w:sdtPr>
              <w:sdtContent>
                <w:sdt>
                  <w:sdtPr>
                    <w:tag w:val="goog_rdk_9"/>
                    <w:id w:val="1274575672"/>
                    <w:showingPlcHdr/>
                  </w:sdtPr>
                  <w:sdtContent>
                    <w:r w:rsidR="002D556B">
                      <w:t xml:space="preserve">     </w:t>
                    </w:r>
                  </w:sdtContent>
                </w:sdt>
              </w:sdtContent>
            </w:sdt>
          </w:p>
          <w:p w14:paraId="00000060" w14:textId="77777777" w:rsidR="00B64B7D" w:rsidRDefault="00B64B7D">
            <w:pPr>
              <w:rPr>
                <w:rFonts w:ascii="Times New Roman" w:eastAsia="Times New Roman" w:hAnsi="Times New Roman" w:cs="Times New Roman"/>
                <w:sz w:val="20"/>
                <w:szCs w:val="20"/>
              </w:rPr>
            </w:pPr>
          </w:p>
        </w:tc>
      </w:tr>
      <w:tr w:rsidR="00B64B7D" w14:paraId="628CFC1F" w14:textId="77777777">
        <w:tc>
          <w:tcPr>
            <w:tcW w:w="5949" w:type="dxa"/>
            <w:gridSpan w:val="6"/>
            <w:tcBorders>
              <w:top w:val="single" w:sz="4" w:space="0" w:color="000000"/>
              <w:left w:val="single" w:sz="4" w:space="0" w:color="000000"/>
              <w:bottom w:val="single" w:sz="4" w:space="0" w:color="FFFFFF"/>
              <w:right w:val="single" w:sz="4" w:space="0" w:color="000000"/>
            </w:tcBorders>
            <w:shd w:val="clear" w:color="auto" w:fill="E2E2E2"/>
          </w:tcPr>
          <w:p w14:paraId="0000006B" w14:textId="77777777" w:rsidR="00B64B7D" w:rsidRDefault="00742C7F">
            <w:pPr>
              <w:spacing w:after="200" w:line="276" w:lineRule="auto"/>
              <w:ind w:left="142"/>
              <w:rPr>
                <w:rFonts w:ascii="Times New Roman" w:eastAsia="Times New Roman" w:hAnsi="Times New Roman" w:cs="Times New Roman"/>
                <w:b/>
              </w:rPr>
            </w:pPr>
            <w:r>
              <w:rPr>
                <w:rFonts w:ascii="Times New Roman" w:eastAsia="Times New Roman" w:hAnsi="Times New Roman" w:cs="Times New Roman"/>
                <w:b/>
              </w:rPr>
              <w:t>Termín začiatku a ukončenia PPK</w:t>
            </w:r>
          </w:p>
        </w:tc>
        <w:tc>
          <w:tcPr>
            <w:tcW w:w="3231" w:type="dxa"/>
            <w:gridSpan w:val="5"/>
            <w:tcBorders>
              <w:top w:val="single" w:sz="4" w:space="0" w:color="000000"/>
              <w:left w:val="single" w:sz="4" w:space="0" w:color="000000"/>
              <w:bottom w:val="single" w:sz="4" w:space="0" w:color="000000"/>
              <w:right w:val="single" w:sz="4" w:space="0" w:color="000000"/>
            </w:tcBorders>
          </w:tcPr>
          <w:p w14:paraId="00000071" w14:textId="77777777" w:rsidR="00B64B7D" w:rsidRDefault="00000000">
            <w:pPr>
              <w:rPr>
                <w:rFonts w:ascii="Times New Roman" w:eastAsia="Times New Roman" w:hAnsi="Times New Roman" w:cs="Times New Roman"/>
                <w:i/>
                <w:sz w:val="20"/>
                <w:szCs w:val="20"/>
              </w:rPr>
            </w:pPr>
            <w:sdt>
              <w:sdtPr>
                <w:tag w:val="goog_rdk_11"/>
                <w:id w:val="985694207"/>
              </w:sdtPr>
              <w:sdtContent>
                <w:sdt>
                  <w:sdtPr>
                    <w:tag w:val="goog_rdk_12"/>
                    <w:id w:val="-78675231"/>
                  </w:sdtPr>
                  <w:sdtContent>
                    <w:r w:rsidR="00742C7F" w:rsidRPr="002D556B">
                      <w:rPr>
                        <w:rFonts w:ascii="Times New Roman" w:eastAsia="Times New Roman" w:hAnsi="Times New Roman" w:cs="Times New Roman"/>
                        <w:i/>
                        <w:sz w:val="20"/>
                        <w:szCs w:val="20"/>
                      </w:rPr>
                      <w:t>9.4.-22.04.2025</w:t>
                    </w:r>
                  </w:sdtContent>
                </w:sdt>
              </w:sdtContent>
            </w:sdt>
          </w:p>
        </w:tc>
      </w:tr>
      <w:tr w:rsidR="00B64B7D" w14:paraId="55B12E9E" w14:textId="77777777">
        <w:tc>
          <w:tcPr>
            <w:tcW w:w="5949" w:type="dxa"/>
            <w:gridSpan w:val="6"/>
            <w:tcBorders>
              <w:top w:val="single" w:sz="4" w:space="0" w:color="000000"/>
              <w:left w:val="single" w:sz="4" w:space="0" w:color="000000"/>
              <w:bottom w:val="single" w:sz="4" w:space="0" w:color="FFFFFF"/>
              <w:right w:val="single" w:sz="4" w:space="0" w:color="000000"/>
            </w:tcBorders>
            <w:shd w:val="clear" w:color="auto" w:fill="E2E2E2"/>
          </w:tcPr>
          <w:p w14:paraId="00000076" w14:textId="77777777" w:rsidR="00B64B7D" w:rsidRDefault="00742C7F">
            <w:pPr>
              <w:spacing w:after="200" w:line="276" w:lineRule="auto"/>
              <w:ind w:left="142"/>
              <w:rPr>
                <w:rFonts w:ascii="Times New Roman" w:eastAsia="Times New Roman" w:hAnsi="Times New Roman" w:cs="Times New Roman"/>
                <w:b/>
              </w:rPr>
            </w:pPr>
            <w:r>
              <w:rPr>
                <w:rFonts w:ascii="Times New Roman" w:eastAsia="Times New Roman" w:hAnsi="Times New Roman" w:cs="Times New Roman"/>
                <w:b/>
              </w:rPr>
              <w:t>Predpokladaný termín predloženia na pripomienkové konanie</w:t>
            </w:r>
          </w:p>
        </w:tc>
        <w:tc>
          <w:tcPr>
            <w:tcW w:w="3231" w:type="dxa"/>
            <w:gridSpan w:val="5"/>
            <w:tcBorders>
              <w:top w:val="single" w:sz="4" w:space="0" w:color="000000"/>
              <w:left w:val="single" w:sz="4" w:space="0" w:color="000000"/>
              <w:bottom w:val="single" w:sz="4" w:space="0" w:color="000000"/>
              <w:right w:val="single" w:sz="4" w:space="0" w:color="000000"/>
            </w:tcBorders>
          </w:tcPr>
          <w:p w14:paraId="0000007C" w14:textId="77777777" w:rsidR="00B64B7D" w:rsidRDefault="00742C7F">
            <w:pPr>
              <w:rPr>
                <w:rFonts w:ascii="Times New Roman" w:eastAsia="Times New Roman" w:hAnsi="Times New Roman" w:cs="Times New Roman"/>
                <w:i/>
                <w:sz w:val="20"/>
                <w:szCs w:val="20"/>
              </w:rPr>
            </w:pPr>
            <w:r>
              <w:rPr>
                <w:rFonts w:ascii="Times New Roman" w:eastAsia="Times New Roman" w:hAnsi="Times New Roman" w:cs="Times New Roman"/>
                <w:i/>
                <w:sz w:val="20"/>
                <w:szCs w:val="20"/>
              </w:rPr>
              <w:t>Február 2025</w:t>
            </w:r>
          </w:p>
        </w:tc>
      </w:tr>
      <w:tr w:rsidR="00B64B7D" w14:paraId="095638D2" w14:textId="77777777">
        <w:trPr>
          <w:trHeight w:val="320"/>
        </w:trPr>
        <w:tc>
          <w:tcPr>
            <w:tcW w:w="5949" w:type="dxa"/>
            <w:gridSpan w:val="6"/>
            <w:tcBorders>
              <w:top w:val="single" w:sz="4" w:space="0" w:color="000000"/>
              <w:left w:val="single" w:sz="4" w:space="0" w:color="000000"/>
              <w:bottom w:val="single" w:sz="4" w:space="0" w:color="FFFFFF"/>
              <w:right w:val="single" w:sz="4" w:space="0" w:color="000000"/>
            </w:tcBorders>
            <w:shd w:val="clear" w:color="auto" w:fill="E2E2E2"/>
          </w:tcPr>
          <w:p w14:paraId="00000081" w14:textId="77777777" w:rsidR="00B64B7D" w:rsidRDefault="00742C7F">
            <w:pPr>
              <w:spacing w:line="276" w:lineRule="auto"/>
              <w:ind w:left="142"/>
              <w:rPr>
                <w:b/>
              </w:rPr>
            </w:pPr>
            <w:r>
              <w:rPr>
                <w:rFonts w:ascii="Times New Roman" w:eastAsia="Times New Roman" w:hAnsi="Times New Roman" w:cs="Times New Roman"/>
                <w:b/>
              </w:rPr>
              <w:t>Predpokladaný termín začiatku a ukončenia ZP**</w:t>
            </w:r>
            <w:r>
              <w:rPr>
                <w:b/>
              </w:rPr>
              <w:t xml:space="preserve"> </w:t>
            </w:r>
          </w:p>
        </w:tc>
        <w:tc>
          <w:tcPr>
            <w:tcW w:w="3231" w:type="dxa"/>
            <w:gridSpan w:val="5"/>
            <w:tcBorders>
              <w:top w:val="single" w:sz="4" w:space="0" w:color="000000"/>
              <w:left w:val="single" w:sz="4" w:space="0" w:color="000000"/>
              <w:bottom w:val="single" w:sz="4" w:space="0" w:color="000000"/>
              <w:right w:val="single" w:sz="4" w:space="0" w:color="000000"/>
            </w:tcBorders>
          </w:tcPr>
          <w:p w14:paraId="00000087" w14:textId="77777777" w:rsidR="00B64B7D" w:rsidRDefault="00B64B7D">
            <w:pPr>
              <w:rPr>
                <w:rFonts w:ascii="Times New Roman" w:eastAsia="Times New Roman" w:hAnsi="Times New Roman" w:cs="Times New Roman"/>
                <w:i/>
                <w:sz w:val="20"/>
                <w:szCs w:val="20"/>
              </w:rPr>
            </w:pPr>
          </w:p>
        </w:tc>
      </w:tr>
      <w:tr w:rsidR="00B64B7D" w14:paraId="4BCE8676" w14:textId="77777777">
        <w:tc>
          <w:tcPr>
            <w:tcW w:w="5949" w:type="dxa"/>
            <w:gridSpan w:val="6"/>
            <w:tcBorders>
              <w:top w:val="single" w:sz="4" w:space="0" w:color="000000"/>
              <w:left w:val="single" w:sz="4" w:space="0" w:color="000000"/>
              <w:bottom w:val="single" w:sz="4" w:space="0" w:color="FFFFFF"/>
              <w:right w:val="single" w:sz="4" w:space="0" w:color="000000"/>
            </w:tcBorders>
            <w:shd w:val="clear" w:color="auto" w:fill="E2E2E2"/>
          </w:tcPr>
          <w:p w14:paraId="0000008C" w14:textId="77777777" w:rsidR="00B64B7D" w:rsidRDefault="00742C7F">
            <w:pPr>
              <w:spacing w:after="200" w:line="276" w:lineRule="auto"/>
              <w:ind w:left="142"/>
              <w:jc w:val="both"/>
              <w:rPr>
                <w:rFonts w:ascii="Times New Roman" w:eastAsia="Times New Roman" w:hAnsi="Times New Roman" w:cs="Times New Roman"/>
                <w:b/>
              </w:rPr>
            </w:pPr>
            <w:r>
              <w:rPr>
                <w:rFonts w:ascii="Times New Roman" w:eastAsia="Times New Roman" w:hAnsi="Times New Roman" w:cs="Times New Roman"/>
                <w:b/>
              </w:rPr>
              <w:t>Predpokladaný termín predloženia na rokovanie vlády SR*</w:t>
            </w:r>
          </w:p>
        </w:tc>
        <w:tc>
          <w:tcPr>
            <w:tcW w:w="3231" w:type="dxa"/>
            <w:gridSpan w:val="5"/>
            <w:tcBorders>
              <w:top w:val="single" w:sz="4" w:space="0" w:color="000000"/>
              <w:left w:val="single" w:sz="4" w:space="0" w:color="000000"/>
              <w:bottom w:val="single" w:sz="4" w:space="0" w:color="000000"/>
              <w:right w:val="single" w:sz="4" w:space="0" w:color="000000"/>
            </w:tcBorders>
          </w:tcPr>
          <w:p w14:paraId="00000092" w14:textId="77777777" w:rsidR="00B64B7D" w:rsidRDefault="00742C7F">
            <w:pPr>
              <w:rPr>
                <w:rFonts w:ascii="Times New Roman" w:eastAsia="Times New Roman" w:hAnsi="Times New Roman" w:cs="Times New Roman"/>
                <w:i/>
                <w:sz w:val="20"/>
                <w:szCs w:val="20"/>
              </w:rPr>
            </w:pPr>
            <w:r>
              <w:rPr>
                <w:rFonts w:ascii="Times New Roman" w:eastAsia="Times New Roman" w:hAnsi="Times New Roman" w:cs="Times New Roman"/>
                <w:i/>
                <w:sz w:val="20"/>
                <w:szCs w:val="20"/>
              </w:rPr>
              <w:t>Jún 2025</w:t>
            </w:r>
          </w:p>
        </w:tc>
      </w:tr>
      <w:tr w:rsidR="00B64B7D" w14:paraId="4D094338" w14:textId="77777777">
        <w:tc>
          <w:tcPr>
            <w:tcW w:w="9180" w:type="dxa"/>
            <w:gridSpan w:val="11"/>
            <w:tcBorders>
              <w:top w:val="single" w:sz="4" w:space="0" w:color="000000"/>
              <w:left w:val="nil"/>
              <w:bottom w:val="single" w:sz="4" w:space="0" w:color="000000"/>
              <w:right w:val="nil"/>
            </w:tcBorders>
            <w:shd w:val="clear" w:color="auto" w:fill="FFFFFF"/>
          </w:tcPr>
          <w:p w14:paraId="00000097" w14:textId="77777777" w:rsidR="00B64B7D" w:rsidRDefault="00B64B7D">
            <w:pPr>
              <w:rPr>
                <w:rFonts w:ascii="Times New Roman" w:eastAsia="Times New Roman" w:hAnsi="Times New Roman" w:cs="Times New Roman"/>
                <w:sz w:val="20"/>
                <w:szCs w:val="20"/>
              </w:rPr>
            </w:pPr>
          </w:p>
        </w:tc>
      </w:tr>
      <w:tr w:rsidR="00B64B7D" w14:paraId="776499D3" w14:textId="77777777">
        <w:tc>
          <w:tcPr>
            <w:tcW w:w="9180" w:type="dxa"/>
            <w:gridSpan w:val="11"/>
            <w:tcBorders>
              <w:top w:val="single" w:sz="4" w:space="0" w:color="000000"/>
              <w:left w:val="single" w:sz="4" w:space="0" w:color="000000"/>
              <w:bottom w:val="single" w:sz="4" w:space="0" w:color="FFFFFF"/>
              <w:right w:val="single" w:sz="4" w:space="0" w:color="000000"/>
            </w:tcBorders>
            <w:shd w:val="clear" w:color="auto" w:fill="E2E2E2"/>
          </w:tcPr>
          <w:p w14:paraId="000000A2" w14:textId="77777777" w:rsidR="00B64B7D" w:rsidRDefault="00742C7F">
            <w:pPr>
              <w:numPr>
                <w:ilvl w:val="0"/>
                <w:numId w:val="1"/>
              </w:numPr>
              <w:ind w:left="426"/>
              <w:rPr>
                <w:rFonts w:ascii="Times New Roman" w:eastAsia="Times New Roman" w:hAnsi="Times New Roman" w:cs="Times New Roman"/>
                <w:b/>
              </w:rPr>
            </w:pPr>
            <w:r>
              <w:rPr>
                <w:rFonts w:ascii="Times New Roman" w:eastAsia="Times New Roman" w:hAnsi="Times New Roman" w:cs="Times New Roman"/>
                <w:b/>
              </w:rPr>
              <w:t>Definovanie problému</w:t>
            </w:r>
          </w:p>
        </w:tc>
      </w:tr>
      <w:tr w:rsidR="00B64B7D" w14:paraId="696E35BA" w14:textId="77777777">
        <w:trPr>
          <w:trHeight w:val="718"/>
        </w:trPr>
        <w:tc>
          <w:tcPr>
            <w:tcW w:w="9180" w:type="dxa"/>
            <w:gridSpan w:val="11"/>
            <w:tcBorders>
              <w:top w:val="single" w:sz="4" w:space="0" w:color="FFFFFF"/>
              <w:left w:val="single" w:sz="4" w:space="0" w:color="000000"/>
              <w:bottom w:val="single" w:sz="4" w:space="0" w:color="000000"/>
              <w:right w:val="single" w:sz="4" w:space="0" w:color="000000"/>
            </w:tcBorders>
            <w:shd w:val="clear" w:color="auto" w:fill="FFFFFF"/>
          </w:tcPr>
          <w:p w14:paraId="000000AD" w14:textId="77777777" w:rsidR="00B64B7D" w:rsidRDefault="00742C7F">
            <w:pPr>
              <w:numPr>
                <w:ilvl w:val="0"/>
                <w:numId w:val="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návrh zákona sa predkladá ako iniciatívny materiál a zároveň aj na základe uznesenia vlády SR č. 195 z 3. apríla 2024, úloha B. 13,</w:t>
            </w:r>
          </w:p>
          <w:p w14:paraId="000000AE" w14:textId="39315FA1" w:rsidR="00B64B7D" w:rsidRDefault="00742C7F">
            <w:pPr>
              <w:numPr>
                <w:ilvl w:val="0"/>
                <w:numId w:val="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transponovanie </w:t>
            </w:r>
            <w:sdt>
              <w:sdtPr>
                <w:tag w:val="goog_rdk_13"/>
                <w:id w:val="-163146420"/>
              </w:sdtPr>
              <w:sdtContent>
                <w:sdt>
                  <w:sdtPr>
                    <w:tag w:val="goog_rdk_14"/>
                    <w:id w:val="1735861257"/>
                  </w:sdtPr>
                  <w:sdtContent>
                    <w:r w:rsidRPr="002D556B">
                      <w:rPr>
                        <w:rFonts w:ascii="Times New Roman" w:eastAsia="Times New Roman" w:hAnsi="Times New Roman" w:cs="Times New Roman"/>
                        <w:sz w:val="24"/>
                        <w:szCs w:val="24"/>
                      </w:rPr>
                      <w:t>smernice (EÚ) 2023/2668</w:t>
                    </w:r>
                    <w:r w:rsidR="002D556B">
                      <w:rPr>
                        <w:rFonts w:ascii="Times New Roman" w:eastAsia="Times New Roman" w:hAnsi="Times New Roman" w:cs="Times New Roman"/>
                        <w:sz w:val="24"/>
                        <w:szCs w:val="24"/>
                      </w:rPr>
                      <w:t>,</w:t>
                    </w:r>
                  </w:sdtContent>
                </w:sdt>
              </w:sdtContent>
            </w:sdt>
          </w:p>
          <w:p w14:paraId="000000AF" w14:textId="64C49F77" w:rsidR="00B64B7D" w:rsidRDefault="00742C7F">
            <w:pPr>
              <w:numPr>
                <w:ilvl w:val="0"/>
                <w:numId w:val="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transponovanie </w:t>
            </w:r>
            <w:sdt>
              <w:sdtPr>
                <w:tag w:val="goog_rdk_17"/>
                <w:id w:val="1083385999"/>
              </w:sdtPr>
              <w:sdtContent>
                <w:sdt>
                  <w:sdtPr>
                    <w:tag w:val="goog_rdk_18"/>
                    <w:id w:val="380514166"/>
                  </w:sdtPr>
                  <w:sdtContent>
                    <w:r w:rsidRPr="002D556B">
                      <w:rPr>
                        <w:rFonts w:ascii="Times New Roman" w:eastAsia="Times New Roman" w:hAnsi="Times New Roman" w:cs="Times New Roman"/>
                        <w:sz w:val="24"/>
                        <w:szCs w:val="24"/>
                      </w:rPr>
                      <w:t>smernice (EÚ) 2024/869</w:t>
                    </w:r>
                  </w:sdtContent>
                </w:sdt>
              </w:sdtContent>
            </w:sdt>
            <w:r w:rsidR="002D556B">
              <w:t>,</w:t>
            </w:r>
          </w:p>
          <w:p w14:paraId="000000B0" w14:textId="77777777" w:rsidR="00B64B7D" w:rsidRDefault="00742C7F">
            <w:pPr>
              <w:numPr>
                <w:ilvl w:val="0"/>
                <w:numId w:val="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návrhom zákona sa plnia úlohy na základe bodov C. 37 a C. 43 uznesenia vlády SR č. 79 z 2. februára 2022 v súvislosti so zlepšovaním podnikateľského prostredia,</w:t>
            </w:r>
          </w:p>
          <w:p w14:paraId="000000B1" w14:textId="77777777" w:rsidR="00B64B7D" w:rsidRDefault="00742C7F">
            <w:pPr>
              <w:numPr>
                <w:ilvl w:val="0"/>
                <w:numId w:val="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v súčasnosti je povinnosť právnickej osoby alebo fyzickej osoby – podnikateľa, ktorá má oprávnenie na odstraňovanie azbestu, predložiť orgánu verejného zdravotníctva na posúdenie návrh na odstraňovanie azbestu a materiálov obsahujúcich azbest zo stavieb,</w:t>
            </w:r>
          </w:p>
          <w:p w14:paraId="000000B2" w14:textId="5F0051F0" w:rsidR="00B64B7D" w:rsidRDefault="00742C7F">
            <w:pPr>
              <w:numPr>
                <w:ilvl w:val="0"/>
                <w:numId w:val="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v súčasnosti je povinnosťou zamestnávateľa vypracovať prevádzkový poriadok pri rizikovej práci z dôvodu záťaže teplom alebo záťaže chladom z technológie a z dôvodu fyzickej záťaže pri práci</w:t>
            </w:r>
            <w:r w:rsidR="002D556B">
              <w:t>,</w:t>
            </w:r>
          </w:p>
          <w:p w14:paraId="000000B3" w14:textId="77777777" w:rsidR="00B64B7D" w:rsidRDefault="00742C7F">
            <w:pPr>
              <w:numPr>
                <w:ilvl w:val="0"/>
                <w:numId w:val="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v súčasnosti zariadenia starostlivosti o ľudské telo patria medzi prevádzky, ktoré netreba schvaľovať pred uvedením priestorov do prevádzky. Spadajú iba pod oznamovaciu činnosť, ktorá musí byť príslušnému RÚVZ oznámená najneskôr v deň začatia prevádzky. Aplikačná prax ukázala časté obchádzanie požiadaviek ustanovených legislatívnymi predpismi, poskytovanie služieb nad rámec toho, čo je možné poskytovať v takýchto zariadeniach, častokrát charakteru zdravotných výkonov, ktoré môžu byť vykonávané iba v zdravotníckych zariadeniach s adekvátnym vzdelaním,</w:t>
            </w:r>
          </w:p>
          <w:p w14:paraId="000000B4" w14:textId="77777777" w:rsidR="00B64B7D" w:rsidRDefault="00742C7F">
            <w:pPr>
              <w:numPr>
                <w:ilvl w:val="0"/>
                <w:numId w:val="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pri používaní solária je organizmus vystavený pôsobeniu umelých zdrojov UV žiarenia; toto žiarenie je na základe aktuálnych vedeckých poznatkov klasifikované Medzinárodnou agentúrou pre výskum rakoviny (IARC) ako dokázaný karcinogén, teda faktor, ktorý predstavuje určité zdravotné riziko,</w:t>
            </w:r>
          </w:p>
          <w:p w14:paraId="000000B5" w14:textId="77777777" w:rsidR="00B64B7D" w:rsidRDefault="00742C7F">
            <w:pPr>
              <w:numPr>
                <w:ilvl w:val="0"/>
                <w:numId w:val="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v posledných rokoch bol vo svete zaznamenaný významný nárast výskytu melanómu kože hlavne medzi mladými ženami; osoby, ktoré veľmi často používajú soláriá, majú dva a pol až trikrát väčšiu pravdepodobnosť vzniku rakoviny tohto typu,</w:t>
            </w:r>
          </w:p>
          <w:p w14:paraId="000000B6" w14:textId="1A1CF9BA" w:rsidR="00B64B7D" w:rsidRDefault="00742C7F">
            <w:pPr>
              <w:numPr>
                <w:ilvl w:val="0"/>
                <w:numId w:val="7"/>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opaľovanie kože v soláriu nie je vhodné pre niektoré citlivé skupiny populácie vrátane osôb mladších ako 18 rokov. Riziko je u populácie v tejto vekovej kategórii väčšie, nakoľko koža je v tomto veku omnoho tenšia a citlivejšia, pričom pokožka nie je schopná vyprodukovať dostatok pigmentu.</w:t>
            </w:r>
          </w:p>
          <w:p w14:paraId="000000B8" w14:textId="77777777" w:rsidR="00B64B7D" w:rsidRDefault="00B64B7D">
            <w:pPr>
              <w:jc w:val="both"/>
              <w:rPr>
                <w:rFonts w:ascii="Times New Roman" w:eastAsia="Times New Roman" w:hAnsi="Times New Roman" w:cs="Times New Roman"/>
                <w:sz w:val="24"/>
                <w:szCs w:val="24"/>
              </w:rPr>
            </w:pPr>
          </w:p>
        </w:tc>
      </w:tr>
      <w:tr w:rsidR="00B64B7D" w14:paraId="441006FF" w14:textId="77777777">
        <w:tc>
          <w:tcPr>
            <w:tcW w:w="9180" w:type="dxa"/>
            <w:gridSpan w:val="11"/>
            <w:tcBorders>
              <w:top w:val="single" w:sz="4" w:space="0" w:color="000000"/>
              <w:left w:val="single" w:sz="4" w:space="0" w:color="000000"/>
              <w:bottom w:val="nil"/>
              <w:right w:val="single" w:sz="4" w:space="0" w:color="000000"/>
            </w:tcBorders>
            <w:shd w:val="clear" w:color="auto" w:fill="E2E2E2"/>
          </w:tcPr>
          <w:p w14:paraId="000000C3" w14:textId="77777777" w:rsidR="00B64B7D" w:rsidRDefault="00742C7F">
            <w:pPr>
              <w:numPr>
                <w:ilvl w:val="0"/>
                <w:numId w:val="1"/>
              </w:numPr>
              <w:ind w:left="426"/>
              <w:rPr>
                <w:rFonts w:ascii="Times New Roman" w:eastAsia="Times New Roman" w:hAnsi="Times New Roman" w:cs="Times New Roman"/>
                <w:b/>
              </w:rPr>
            </w:pPr>
            <w:r>
              <w:rPr>
                <w:rFonts w:ascii="Times New Roman" w:eastAsia="Times New Roman" w:hAnsi="Times New Roman" w:cs="Times New Roman"/>
                <w:b/>
              </w:rPr>
              <w:lastRenderedPageBreak/>
              <w:t>Ciele a výsledný stav</w:t>
            </w:r>
          </w:p>
        </w:tc>
      </w:tr>
      <w:tr w:rsidR="00B64B7D" w14:paraId="35E94A17" w14:textId="77777777">
        <w:trPr>
          <w:trHeight w:val="741"/>
        </w:trPr>
        <w:tc>
          <w:tcPr>
            <w:tcW w:w="9180" w:type="dxa"/>
            <w:gridSpan w:val="11"/>
            <w:tcBorders>
              <w:top w:val="nil"/>
              <w:left w:val="single" w:sz="4" w:space="0" w:color="000000"/>
              <w:bottom w:val="single" w:sz="4" w:space="0" w:color="000000"/>
              <w:right w:val="single" w:sz="4" w:space="0" w:color="000000"/>
            </w:tcBorders>
            <w:shd w:val="clear" w:color="auto" w:fill="FFFFFF"/>
          </w:tcPr>
          <w:p w14:paraId="000000CE" w14:textId="77777777" w:rsidR="00B64B7D" w:rsidRDefault="00742C7F">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Zlepšenie podnikateľského prostredia </w:t>
            </w:r>
          </w:p>
          <w:p w14:paraId="000000CF" w14:textId="77777777" w:rsidR="00B64B7D" w:rsidRDefault="00742C7F">
            <w:pPr>
              <w:numPr>
                <w:ilvl w:val="0"/>
                <w:numId w:val="6"/>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vypustením povinnosti predkladať orgánu verejného zdravotníctva na posúdenie návrh na odstraňovanie azbestu a materiálov obsahujúcich azbest zo stavieb a nahradiť ho oznamovacou povinnosťou,</w:t>
            </w:r>
          </w:p>
          <w:p w14:paraId="000000D0" w14:textId="77777777" w:rsidR="00B64B7D" w:rsidRDefault="00742C7F">
            <w:pPr>
              <w:numPr>
                <w:ilvl w:val="0"/>
                <w:numId w:val="6"/>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vypustením povinnosti vypracovať prevádzkový poriadok pri rizikovej práci z dôvodu záťaže teplom alebo záťaže chladom z technológie a z dôvodu fyzickej záťaže, </w:t>
            </w:r>
          </w:p>
          <w:p w14:paraId="000000D1" w14:textId="77777777" w:rsidR="00B64B7D" w:rsidRDefault="00742C7F">
            <w:pPr>
              <w:numPr>
                <w:ilvl w:val="0"/>
                <w:numId w:val="6"/>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vypustením povinnosti predkladať orgánu verejného zdravotníctva na schválenie  zotavovacie podujatie a stanovuje sa pre organizátora tohto podujatia povinnosť ho príslušnému orgánu verejného zdravotníctva oznámiť. </w:t>
            </w:r>
          </w:p>
          <w:p w14:paraId="000000D2" w14:textId="77777777" w:rsidR="00B64B7D" w:rsidRDefault="00B64B7D">
            <w:pPr>
              <w:pBdr>
                <w:top w:val="nil"/>
                <w:left w:val="nil"/>
                <w:bottom w:val="nil"/>
                <w:right w:val="nil"/>
                <w:between w:val="nil"/>
              </w:pBdr>
              <w:spacing w:line="276" w:lineRule="auto"/>
              <w:ind w:left="720"/>
              <w:jc w:val="both"/>
              <w:rPr>
                <w:rFonts w:ascii="Times New Roman" w:eastAsia="Times New Roman" w:hAnsi="Times New Roman" w:cs="Times New Roman"/>
                <w:color w:val="000000"/>
                <w:sz w:val="24"/>
                <w:szCs w:val="24"/>
              </w:rPr>
            </w:pPr>
          </w:p>
          <w:p w14:paraId="000000D3" w14:textId="77777777" w:rsidR="00B64B7D" w:rsidRDefault="00742C7F">
            <w:pPr>
              <w:pBdr>
                <w:top w:val="nil"/>
                <w:left w:val="nil"/>
                <w:bottom w:val="nil"/>
                <w:right w:val="nil"/>
                <w:between w:val="nil"/>
              </w:pBdr>
              <w:spacing w:line="276" w:lineRule="auto"/>
              <w:ind w:left="72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Ďalšie ciele:</w:t>
            </w:r>
          </w:p>
          <w:p w14:paraId="000000D4" w14:textId="77777777" w:rsidR="00B64B7D" w:rsidRDefault="00742C7F">
            <w:pPr>
              <w:numPr>
                <w:ilvl w:val="0"/>
                <w:numId w:val="6"/>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obmedzenie pre prevádzkovateľov solárií, aby služby zamerané na opaľovanie kože umelými UV žiaričmi neposkytovali osobám mladším ako 18 rokov,</w:t>
            </w:r>
          </w:p>
          <w:p w14:paraId="000000D5" w14:textId="77777777" w:rsidR="00B64B7D" w:rsidRDefault="00742C7F">
            <w:pPr>
              <w:numPr>
                <w:ilvl w:val="0"/>
                <w:numId w:val="6"/>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upravuje sa odborná spôsobilosť a v súlade s optimalizáciou procesov verejného zdravotníctva sa spresňujú osoby, ktoré musia mať odbornú spôsobilosť na činnosti v tejto oblasti,</w:t>
            </w:r>
          </w:p>
          <w:p w14:paraId="000000D6" w14:textId="77777777" w:rsidR="00B64B7D" w:rsidRDefault="00742C7F">
            <w:pPr>
              <w:numPr>
                <w:ilvl w:val="0"/>
                <w:numId w:val="6"/>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doplnenie kompetencie Úradu verejného zdravotníctva Slovenskej republiky vydávať na požiadanie výrobcu osvedčenie o voľnom predaji kozmetického výrobku do tretích krajín a osvedčenie o dodržaní požiadaviek na správnu výrobnú prax pri výrobe kozmetického výrobku,</w:t>
            </w:r>
          </w:p>
          <w:p w14:paraId="000000D7" w14:textId="0B566129" w:rsidR="00B64B7D" w:rsidRDefault="00742C7F">
            <w:pPr>
              <w:numPr>
                <w:ilvl w:val="0"/>
                <w:numId w:val="6"/>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opätovné zaradenie zariadení starostlivosti o ľudské telo pod rozhodovaciu činnosť orgány verejného zdravotníctva. Kontrolou požiadaviek na prevádzkovanie predmetných zariadení ešte pred ich prevádzkovaním zvýšime ochranu verejného </w:t>
            </w:r>
            <w:r>
              <w:rPr>
                <w:rFonts w:ascii="Times New Roman" w:eastAsia="Times New Roman" w:hAnsi="Times New Roman" w:cs="Times New Roman"/>
                <w:color w:val="000000"/>
                <w:sz w:val="24"/>
                <w:szCs w:val="24"/>
              </w:rPr>
              <w:lastRenderedPageBreak/>
              <w:t>zdravia klientov. V zariadeniach starostlivosti o ľudské telo sa vykonávajú epidemiologicky závažné činnosti, čím sa zaraďujú medzi pracoviská so zvýšeným rizikom vzniku a prenosu infekčných chorôb a iných porúch zdravia.</w:t>
            </w:r>
          </w:p>
          <w:p w14:paraId="000000D9" w14:textId="77777777" w:rsidR="00B64B7D" w:rsidRDefault="00B64B7D" w:rsidP="002D556B">
            <w:pPr>
              <w:pBdr>
                <w:top w:val="nil"/>
                <w:left w:val="nil"/>
                <w:bottom w:val="nil"/>
                <w:right w:val="nil"/>
                <w:between w:val="nil"/>
              </w:pBdr>
              <w:spacing w:line="276" w:lineRule="auto"/>
              <w:ind w:left="720"/>
              <w:jc w:val="both"/>
              <w:rPr>
                <w:rFonts w:ascii="Times New Roman" w:eastAsia="Times New Roman" w:hAnsi="Times New Roman" w:cs="Times New Roman"/>
                <w:color w:val="000000"/>
                <w:sz w:val="24"/>
                <w:szCs w:val="24"/>
              </w:rPr>
            </w:pPr>
          </w:p>
        </w:tc>
      </w:tr>
      <w:tr w:rsidR="00B64B7D" w14:paraId="51CC2BF2" w14:textId="77777777">
        <w:tc>
          <w:tcPr>
            <w:tcW w:w="9180" w:type="dxa"/>
            <w:gridSpan w:val="11"/>
            <w:tcBorders>
              <w:top w:val="single" w:sz="4" w:space="0" w:color="000000"/>
              <w:left w:val="single" w:sz="4" w:space="0" w:color="000000"/>
              <w:bottom w:val="nil"/>
              <w:right w:val="single" w:sz="4" w:space="0" w:color="000000"/>
            </w:tcBorders>
            <w:shd w:val="clear" w:color="auto" w:fill="E2E2E2"/>
          </w:tcPr>
          <w:p w14:paraId="000000E4" w14:textId="77777777" w:rsidR="00B64B7D" w:rsidRDefault="00742C7F">
            <w:pPr>
              <w:numPr>
                <w:ilvl w:val="0"/>
                <w:numId w:val="1"/>
              </w:numPr>
              <w:ind w:left="426"/>
              <w:rPr>
                <w:rFonts w:ascii="Times New Roman" w:eastAsia="Times New Roman" w:hAnsi="Times New Roman" w:cs="Times New Roman"/>
                <w:b/>
              </w:rPr>
            </w:pPr>
            <w:r>
              <w:rPr>
                <w:rFonts w:ascii="Times New Roman" w:eastAsia="Times New Roman" w:hAnsi="Times New Roman" w:cs="Times New Roman"/>
                <w:b/>
              </w:rPr>
              <w:lastRenderedPageBreak/>
              <w:t>Dotknuté subjekty</w:t>
            </w:r>
          </w:p>
        </w:tc>
      </w:tr>
      <w:tr w:rsidR="00B64B7D" w14:paraId="20BEC9B8" w14:textId="77777777">
        <w:tc>
          <w:tcPr>
            <w:tcW w:w="9180" w:type="dxa"/>
            <w:gridSpan w:val="11"/>
            <w:tcBorders>
              <w:top w:val="nil"/>
              <w:left w:val="single" w:sz="4" w:space="0" w:color="000000"/>
              <w:bottom w:val="single" w:sz="4" w:space="0" w:color="000000"/>
              <w:right w:val="single" w:sz="4" w:space="0" w:color="000000"/>
            </w:tcBorders>
            <w:shd w:val="clear" w:color="auto" w:fill="FFFFFF"/>
          </w:tcPr>
          <w:p w14:paraId="000000EF" w14:textId="77777777" w:rsidR="00B64B7D" w:rsidRDefault="00742C7F">
            <w:p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Fyzické osoby – podnikatelia a právnické osoby, fyzické osoby </w:t>
            </w:r>
          </w:p>
          <w:p w14:paraId="000000F0" w14:textId="77777777" w:rsidR="00B64B7D" w:rsidRDefault="00742C7F">
            <w:p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Subjekty, ktorých sa zmeny predkladaného materiálu dotknú priamo sú: </w:t>
            </w:r>
          </w:p>
          <w:p w14:paraId="000000F1" w14:textId="77777777" w:rsidR="00B64B7D" w:rsidRDefault="00742C7F">
            <w:pPr>
              <w:numPr>
                <w:ilvl w:val="0"/>
                <w:numId w:val="4"/>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zamestnávatelia </w:t>
            </w:r>
          </w:p>
          <w:p w14:paraId="000000F2" w14:textId="77777777" w:rsidR="00B64B7D" w:rsidRDefault="00742C7F">
            <w:pPr>
              <w:numPr>
                <w:ilvl w:val="0"/>
                <w:numId w:val="4"/>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zamestnanci</w:t>
            </w:r>
          </w:p>
          <w:p w14:paraId="000000F3" w14:textId="77777777" w:rsidR="00B64B7D" w:rsidRDefault="00742C7F">
            <w:pPr>
              <w:numPr>
                <w:ilvl w:val="0"/>
                <w:numId w:val="4"/>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poskytovatelia zdravotnej starostlivosti</w:t>
            </w:r>
          </w:p>
          <w:p w14:paraId="000000F4" w14:textId="77777777" w:rsidR="00B64B7D" w:rsidRDefault="00742C7F">
            <w:pPr>
              <w:numPr>
                <w:ilvl w:val="0"/>
                <w:numId w:val="4"/>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prevádzkovatelia zariadení starostlivosti o ľudské telo</w:t>
            </w:r>
          </w:p>
          <w:p w14:paraId="000000F5" w14:textId="77777777" w:rsidR="00B64B7D" w:rsidRDefault="00742C7F">
            <w:pPr>
              <w:numPr>
                <w:ilvl w:val="0"/>
                <w:numId w:val="4"/>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hospodárske subjekty (výrobcovia a dovozcovia kozmetických výrobkov).</w:t>
            </w:r>
          </w:p>
          <w:p w14:paraId="000000F6" w14:textId="77777777" w:rsidR="00B64B7D" w:rsidRDefault="00B64B7D">
            <w:pPr>
              <w:pBdr>
                <w:top w:val="nil"/>
                <w:left w:val="nil"/>
                <w:bottom w:val="nil"/>
                <w:right w:val="nil"/>
                <w:between w:val="nil"/>
              </w:pBdr>
              <w:spacing w:after="160" w:line="276" w:lineRule="auto"/>
              <w:ind w:left="720"/>
              <w:jc w:val="both"/>
              <w:rPr>
                <w:rFonts w:ascii="Times New Roman" w:eastAsia="Times New Roman" w:hAnsi="Times New Roman" w:cs="Times New Roman"/>
                <w:color w:val="000000"/>
                <w:sz w:val="24"/>
                <w:szCs w:val="24"/>
              </w:rPr>
            </w:pPr>
          </w:p>
          <w:p w14:paraId="000000F7" w14:textId="77777777" w:rsidR="00B64B7D" w:rsidRDefault="00742C7F">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Subjekty, ktorých sa zmeny predkladaného materiálu dotknú nepriamo sú:</w:t>
            </w:r>
          </w:p>
          <w:p w14:paraId="000000F8" w14:textId="77777777" w:rsidR="00B64B7D" w:rsidRDefault="00742C7F">
            <w:pPr>
              <w:numPr>
                <w:ilvl w:val="0"/>
                <w:numId w:val="5"/>
              </w:num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pracovné zdravotné služby</w:t>
            </w:r>
          </w:p>
          <w:p w14:paraId="000000F9" w14:textId="77777777" w:rsidR="00B64B7D" w:rsidRDefault="00742C7F">
            <w:pPr>
              <w:numPr>
                <w:ilvl w:val="0"/>
                <w:numId w:val="5"/>
              </w:numPr>
              <w:pBdr>
                <w:top w:val="nil"/>
                <w:left w:val="nil"/>
                <w:bottom w:val="nil"/>
                <w:right w:val="nil"/>
                <w:between w:val="nil"/>
              </w:pBdr>
              <w:spacing w:after="160"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orgány štátnej správy na úseku verejného zdravotníctva.</w:t>
            </w:r>
          </w:p>
          <w:p w14:paraId="000000FA" w14:textId="77777777" w:rsidR="00B64B7D" w:rsidRDefault="00B64B7D">
            <w:pPr>
              <w:rPr>
                <w:rFonts w:ascii="Times New Roman" w:eastAsia="Times New Roman" w:hAnsi="Times New Roman" w:cs="Times New Roman"/>
                <w:i/>
                <w:sz w:val="20"/>
                <w:szCs w:val="20"/>
              </w:rPr>
            </w:pPr>
          </w:p>
        </w:tc>
      </w:tr>
      <w:tr w:rsidR="00B64B7D" w14:paraId="524D5369" w14:textId="77777777">
        <w:tc>
          <w:tcPr>
            <w:tcW w:w="9180" w:type="dxa"/>
            <w:gridSpan w:val="11"/>
            <w:tcBorders>
              <w:top w:val="single" w:sz="4" w:space="0" w:color="000000"/>
              <w:left w:val="single" w:sz="4" w:space="0" w:color="000000"/>
              <w:bottom w:val="nil"/>
              <w:right w:val="single" w:sz="4" w:space="0" w:color="000000"/>
            </w:tcBorders>
            <w:shd w:val="clear" w:color="auto" w:fill="E2E2E2"/>
          </w:tcPr>
          <w:p w14:paraId="00000105" w14:textId="77777777" w:rsidR="00B64B7D" w:rsidRDefault="00742C7F">
            <w:pPr>
              <w:numPr>
                <w:ilvl w:val="0"/>
                <w:numId w:val="1"/>
              </w:numPr>
              <w:ind w:left="426"/>
              <w:rPr>
                <w:rFonts w:ascii="Times New Roman" w:eastAsia="Times New Roman" w:hAnsi="Times New Roman" w:cs="Times New Roman"/>
                <w:b/>
              </w:rPr>
            </w:pPr>
            <w:r>
              <w:rPr>
                <w:rFonts w:ascii="Times New Roman" w:eastAsia="Times New Roman" w:hAnsi="Times New Roman" w:cs="Times New Roman"/>
                <w:b/>
              </w:rPr>
              <w:t>Alternatívne riešenia</w:t>
            </w:r>
          </w:p>
        </w:tc>
      </w:tr>
      <w:tr w:rsidR="00B64B7D" w14:paraId="7B85CC7E" w14:textId="77777777">
        <w:trPr>
          <w:trHeight w:val="1524"/>
        </w:trPr>
        <w:tc>
          <w:tcPr>
            <w:tcW w:w="9180" w:type="dxa"/>
            <w:gridSpan w:val="11"/>
            <w:tcBorders>
              <w:top w:val="nil"/>
              <w:left w:val="single" w:sz="4" w:space="0" w:color="000000"/>
              <w:bottom w:val="single" w:sz="4" w:space="0" w:color="000000"/>
              <w:right w:val="single" w:sz="4" w:space="0" w:color="000000"/>
            </w:tcBorders>
            <w:shd w:val="clear" w:color="auto" w:fill="FFFFFF"/>
          </w:tcPr>
          <w:p w14:paraId="00000110" w14:textId="77777777" w:rsidR="00B64B7D" w:rsidRDefault="00742C7F">
            <w:pPr>
              <w:spacing w:line="276"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Alternatíva 0</w:t>
            </w:r>
          </w:p>
          <w:p w14:paraId="00000111" w14:textId="77777777" w:rsidR="00B64B7D" w:rsidRDefault="00742C7F">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Zachovanie doterajšej právnej úpravy:</w:t>
            </w:r>
            <w:r>
              <w:rPr>
                <w:rFonts w:ascii="Times New Roman" w:eastAsia="Times New Roman" w:hAnsi="Times New Roman" w:cs="Times New Roman"/>
                <w:sz w:val="24"/>
                <w:szCs w:val="24"/>
              </w:rPr>
              <w:t xml:space="preserve"> </w:t>
            </w:r>
          </w:p>
          <w:p w14:paraId="00000112" w14:textId="77777777" w:rsidR="00B64B7D" w:rsidRDefault="00742C7F">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Nezosúladenie vnútroštátneho právneho poriadku a netransponovanie smernice do právneho poriadku Slovenskej republiky by mohlo byť Európskou komisiou považované za nesplnenie povinností vyplývajúcich Slovenskej republike z primárneho práva Európskej únie (Zmluva o Európskej únii a Zmluva o fungovaní Európskej únie) a následne by Európska únia na základe článku 258 Zmluvy o fungovaní Európskej únie mohla predložiť toto svoje zistenie Súdnemu dvoru Európskej únie v rámci tzv. </w:t>
            </w:r>
            <w:proofErr w:type="spellStart"/>
            <w:r>
              <w:rPr>
                <w:rFonts w:ascii="Times New Roman" w:eastAsia="Times New Roman" w:hAnsi="Times New Roman" w:cs="Times New Roman"/>
                <w:sz w:val="24"/>
                <w:szCs w:val="24"/>
              </w:rPr>
              <w:t>infringement</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proceedings</w:t>
            </w:r>
            <w:proofErr w:type="spellEnd"/>
            <w:r>
              <w:rPr>
                <w:rFonts w:ascii="Times New Roman" w:eastAsia="Times New Roman" w:hAnsi="Times New Roman" w:cs="Times New Roman"/>
                <w:sz w:val="24"/>
                <w:szCs w:val="24"/>
              </w:rPr>
              <w:t>.</w:t>
            </w:r>
          </w:p>
          <w:p w14:paraId="00000113" w14:textId="77777777" w:rsidR="00B64B7D" w:rsidRDefault="00B64B7D">
            <w:pPr>
              <w:spacing w:line="276" w:lineRule="auto"/>
              <w:jc w:val="both"/>
              <w:rPr>
                <w:rFonts w:ascii="Times New Roman" w:eastAsia="Times New Roman" w:hAnsi="Times New Roman" w:cs="Times New Roman"/>
                <w:sz w:val="24"/>
                <w:szCs w:val="24"/>
              </w:rPr>
            </w:pPr>
          </w:p>
          <w:p w14:paraId="00000114" w14:textId="77777777" w:rsidR="00B64B7D" w:rsidRDefault="00742C7F">
            <w:pPr>
              <w:spacing w:line="276"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Alternatíva 1</w:t>
            </w:r>
          </w:p>
          <w:p w14:paraId="00000115" w14:textId="77777777" w:rsidR="00B64B7D" w:rsidRDefault="00742C7F">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Znamená prebratie smernice (EÚ) 2023/2668 a smernice (EÚ) 2024/869 do právneho poriadku Slovenskej republiky a splnenie medzinárodných záväzkov.</w:t>
            </w:r>
          </w:p>
        </w:tc>
      </w:tr>
      <w:tr w:rsidR="00B64B7D" w14:paraId="5702E672" w14:textId="77777777">
        <w:tc>
          <w:tcPr>
            <w:tcW w:w="9180" w:type="dxa"/>
            <w:gridSpan w:val="11"/>
            <w:tcBorders>
              <w:top w:val="single" w:sz="4" w:space="0" w:color="000000"/>
              <w:left w:val="single" w:sz="4" w:space="0" w:color="000000"/>
              <w:bottom w:val="single" w:sz="4" w:space="0" w:color="FFFFFF"/>
              <w:right w:val="single" w:sz="4" w:space="0" w:color="000000"/>
            </w:tcBorders>
            <w:shd w:val="clear" w:color="auto" w:fill="E2E2E2"/>
          </w:tcPr>
          <w:p w14:paraId="00000120" w14:textId="77777777" w:rsidR="00B64B7D" w:rsidRDefault="00742C7F">
            <w:pPr>
              <w:numPr>
                <w:ilvl w:val="0"/>
                <w:numId w:val="1"/>
              </w:numPr>
              <w:ind w:left="426"/>
              <w:rPr>
                <w:rFonts w:ascii="Times New Roman" w:eastAsia="Times New Roman" w:hAnsi="Times New Roman" w:cs="Times New Roman"/>
                <w:b/>
              </w:rPr>
            </w:pPr>
            <w:r>
              <w:rPr>
                <w:rFonts w:ascii="Times New Roman" w:eastAsia="Times New Roman" w:hAnsi="Times New Roman" w:cs="Times New Roman"/>
                <w:b/>
              </w:rPr>
              <w:t>Vykonávacie predpisy</w:t>
            </w:r>
          </w:p>
        </w:tc>
      </w:tr>
      <w:tr w:rsidR="00B64B7D" w14:paraId="254F9A2D" w14:textId="77777777">
        <w:tc>
          <w:tcPr>
            <w:tcW w:w="6203" w:type="dxa"/>
            <w:gridSpan w:val="7"/>
            <w:tcBorders>
              <w:top w:val="single" w:sz="4" w:space="0" w:color="FFFFFF"/>
              <w:left w:val="single" w:sz="4" w:space="0" w:color="000000"/>
              <w:bottom w:val="nil"/>
              <w:right w:val="nil"/>
            </w:tcBorders>
            <w:shd w:val="clear" w:color="auto" w:fill="FFFFFF"/>
          </w:tcPr>
          <w:p w14:paraId="0000012B" w14:textId="77777777" w:rsidR="00B64B7D" w:rsidRDefault="00742C7F">
            <w:pPr>
              <w:rPr>
                <w:rFonts w:ascii="Times New Roman" w:eastAsia="Times New Roman" w:hAnsi="Times New Roman" w:cs="Times New Roman"/>
                <w:i/>
                <w:sz w:val="20"/>
                <w:szCs w:val="20"/>
              </w:rPr>
            </w:pPr>
            <w:r>
              <w:rPr>
                <w:rFonts w:ascii="Times New Roman" w:eastAsia="Times New Roman" w:hAnsi="Times New Roman" w:cs="Times New Roman"/>
                <w:i/>
                <w:sz w:val="20"/>
                <w:szCs w:val="20"/>
              </w:rPr>
              <w:t>Predpokladá sa prijatie/zmena  vykonávacích predpisov?</w:t>
            </w:r>
          </w:p>
        </w:tc>
        <w:tc>
          <w:tcPr>
            <w:tcW w:w="1417" w:type="dxa"/>
            <w:gridSpan w:val="2"/>
            <w:tcBorders>
              <w:top w:val="single" w:sz="4" w:space="0" w:color="FFFFFF"/>
              <w:left w:val="nil"/>
              <w:bottom w:val="nil"/>
              <w:right w:val="nil"/>
            </w:tcBorders>
            <w:shd w:val="clear" w:color="auto" w:fill="FFFFFF"/>
          </w:tcPr>
          <w:p w14:paraId="00000132" w14:textId="77777777" w:rsidR="00B64B7D" w:rsidRDefault="00742C7F">
            <w:pPr>
              <w:jc w:val="center"/>
              <w:rPr>
                <w:rFonts w:ascii="Times New Roman" w:eastAsia="Times New Roman" w:hAnsi="Times New Roman" w:cs="Times New Roman"/>
                <w:b/>
                <w:sz w:val="20"/>
                <w:szCs w:val="20"/>
              </w:rPr>
            </w:pPr>
            <w:r>
              <w:rPr>
                <w:rFonts w:ascii="MS Gothic" w:eastAsia="MS Gothic" w:hAnsi="MS Gothic" w:cs="MS Gothic"/>
                <w:b/>
                <w:sz w:val="20"/>
                <w:szCs w:val="20"/>
              </w:rPr>
              <w:t>☒</w:t>
            </w:r>
            <w:r>
              <w:rPr>
                <w:rFonts w:ascii="Times New Roman" w:eastAsia="Times New Roman" w:hAnsi="Times New Roman" w:cs="Times New Roman"/>
                <w:b/>
                <w:sz w:val="20"/>
                <w:szCs w:val="20"/>
              </w:rPr>
              <w:t xml:space="preserve">  Áno</w:t>
            </w:r>
          </w:p>
        </w:tc>
        <w:tc>
          <w:tcPr>
            <w:tcW w:w="1560" w:type="dxa"/>
            <w:gridSpan w:val="2"/>
            <w:tcBorders>
              <w:top w:val="single" w:sz="4" w:space="0" w:color="FFFFFF"/>
              <w:left w:val="nil"/>
              <w:bottom w:val="nil"/>
              <w:right w:val="single" w:sz="4" w:space="0" w:color="000000"/>
            </w:tcBorders>
            <w:shd w:val="clear" w:color="auto" w:fill="FFFFFF"/>
          </w:tcPr>
          <w:p w14:paraId="00000134" w14:textId="77777777" w:rsidR="00B64B7D" w:rsidRDefault="00742C7F">
            <w:pPr>
              <w:jc w:val="center"/>
              <w:rPr>
                <w:rFonts w:ascii="Times New Roman" w:eastAsia="Times New Roman" w:hAnsi="Times New Roman" w:cs="Times New Roman"/>
                <w:b/>
                <w:sz w:val="20"/>
                <w:szCs w:val="20"/>
              </w:rPr>
            </w:pPr>
            <w:r>
              <w:rPr>
                <w:rFonts w:ascii="MS Gothic" w:eastAsia="MS Gothic" w:hAnsi="MS Gothic" w:cs="MS Gothic"/>
                <w:b/>
                <w:sz w:val="20"/>
                <w:szCs w:val="20"/>
              </w:rPr>
              <w:t>☐</w:t>
            </w:r>
            <w:r>
              <w:rPr>
                <w:rFonts w:ascii="Times New Roman" w:eastAsia="Times New Roman" w:hAnsi="Times New Roman" w:cs="Times New Roman"/>
                <w:b/>
                <w:sz w:val="20"/>
                <w:szCs w:val="20"/>
              </w:rPr>
              <w:t xml:space="preserve">  Nie</w:t>
            </w:r>
          </w:p>
        </w:tc>
      </w:tr>
      <w:tr w:rsidR="00B64B7D" w14:paraId="79DA865D" w14:textId="77777777">
        <w:tc>
          <w:tcPr>
            <w:tcW w:w="9180" w:type="dxa"/>
            <w:gridSpan w:val="11"/>
            <w:tcBorders>
              <w:top w:val="nil"/>
              <w:left w:val="single" w:sz="4" w:space="0" w:color="000000"/>
              <w:bottom w:val="single" w:sz="4" w:space="0" w:color="000000"/>
              <w:right w:val="single" w:sz="4" w:space="0" w:color="000000"/>
            </w:tcBorders>
            <w:shd w:val="clear" w:color="auto" w:fill="FFFFFF"/>
          </w:tcPr>
          <w:p w14:paraId="00000136" w14:textId="77777777" w:rsidR="00B64B7D" w:rsidRDefault="00742C7F">
            <w:pPr>
              <w:numPr>
                <w:ilvl w:val="0"/>
                <w:numId w:val="2"/>
              </w:numPr>
              <w:pBdr>
                <w:top w:val="nil"/>
                <w:left w:val="nil"/>
                <w:bottom w:val="nil"/>
                <w:right w:val="nil"/>
                <w:between w:val="nil"/>
              </w:pBdr>
              <w:spacing w:line="276" w:lineRule="auto"/>
              <w:ind w:left="45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návrh vyhlášky MZ SR o podrobnostiach o ochrane zdravia pred fyzickou záťažou pri práci (nahradí doterajšiu vyhlášku MZ SR č. 542/2007 Z. z. o podrobnostiach o ochrane zdravia pred fyzickou záťažou pri práci, psychickou pracovnou záťažou a senzorickou záťažou pri práci; úloha C.45 uznesenia vlády SR 79/2022) </w:t>
            </w:r>
          </w:p>
          <w:p w14:paraId="00000137" w14:textId="77777777" w:rsidR="00B64B7D" w:rsidRDefault="00742C7F">
            <w:pPr>
              <w:numPr>
                <w:ilvl w:val="0"/>
                <w:numId w:val="2"/>
              </w:numPr>
              <w:pBdr>
                <w:top w:val="nil"/>
                <w:left w:val="nil"/>
                <w:bottom w:val="nil"/>
                <w:right w:val="nil"/>
                <w:between w:val="nil"/>
              </w:pBdr>
              <w:spacing w:line="276" w:lineRule="auto"/>
              <w:ind w:left="45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návrh vyhlášky MZ SR o podrobnostiach o ochrane zdravia pred psychickou pracovnou záťažou (nahradí doterajšiu vyhlášku MZ SR č. 542/2007 Z. z. o podrobnostiach o ochrane zdravia pred fyzickou záťažou pri práci, psychickou pracovnou záťažou a senzorickou záťažou pri práci; úloha C.45 uznesenia vlády SR 79/2022)</w:t>
            </w:r>
          </w:p>
          <w:p w14:paraId="00000138" w14:textId="77777777" w:rsidR="00B64B7D" w:rsidRDefault="00742C7F">
            <w:pPr>
              <w:numPr>
                <w:ilvl w:val="0"/>
                <w:numId w:val="2"/>
              </w:numPr>
              <w:pBdr>
                <w:top w:val="nil"/>
                <w:left w:val="nil"/>
                <w:bottom w:val="nil"/>
                <w:right w:val="nil"/>
                <w:between w:val="nil"/>
              </w:pBdr>
              <w:spacing w:line="276" w:lineRule="auto"/>
              <w:ind w:left="454"/>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návrh vyhlášky MZ SR, ktorou sa mení a dopĺňa vyhláška Ministerstva zdravotníctva Slovenskej republiky č. 448/2007 Z. z. o podrobnostiach o faktoroch práce a pracovného prostredia vo vzťahu ku kategorizácii prác z hľadiska zdravotných rizík a o náležitostiach </w:t>
            </w:r>
            <w:r>
              <w:rPr>
                <w:rFonts w:ascii="Times New Roman" w:eastAsia="Times New Roman" w:hAnsi="Times New Roman" w:cs="Times New Roman"/>
                <w:color w:val="000000"/>
                <w:sz w:val="24"/>
                <w:szCs w:val="24"/>
              </w:rPr>
              <w:lastRenderedPageBreak/>
              <w:t>návrhu na zaradenie prác do kategórií v znení neskorších predpisov (úlohy C.42 a C.45 uznesenia vlády SR 79/2022)</w:t>
            </w:r>
          </w:p>
          <w:p w14:paraId="00000139" w14:textId="77777777" w:rsidR="00B64B7D" w:rsidRDefault="00742C7F">
            <w:pPr>
              <w:numPr>
                <w:ilvl w:val="0"/>
                <w:numId w:val="2"/>
              </w:numPr>
              <w:pBdr>
                <w:top w:val="nil"/>
                <w:left w:val="nil"/>
                <w:bottom w:val="nil"/>
                <w:right w:val="nil"/>
                <w:between w:val="nil"/>
              </w:pBdr>
              <w:spacing w:after="160" w:line="276" w:lineRule="auto"/>
              <w:ind w:left="454"/>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4"/>
                <w:szCs w:val="24"/>
              </w:rPr>
              <w:t>návrh vyhlášky MZ SR, ktorou sa mení vyhláška Ministerstva zdravotníctva Slovenskej republiky č. 99/2016 Z. z. o podrobnostiach o ochrane zdravia pred záťažou teplom a chladom pri práci v znení neskorších predpisov (úloha C.37 uznesenia vlády SR 79/2022)</w:t>
            </w:r>
          </w:p>
          <w:p w14:paraId="0000013A" w14:textId="77777777" w:rsidR="00B64B7D" w:rsidRDefault="00B64B7D">
            <w:pPr>
              <w:spacing w:line="276" w:lineRule="auto"/>
              <w:jc w:val="both"/>
              <w:rPr>
                <w:rFonts w:ascii="Times New Roman" w:eastAsia="Times New Roman" w:hAnsi="Times New Roman" w:cs="Times New Roman"/>
                <w:sz w:val="20"/>
                <w:szCs w:val="20"/>
              </w:rPr>
            </w:pPr>
          </w:p>
          <w:p w14:paraId="0000013B" w14:textId="77777777" w:rsidR="00B64B7D" w:rsidRDefault="00B64B7D">
            <w:pPr>
              <w:rPr>
                <w:rFonts w:ascii="Times New Roman" w:eastAsia="Times New Roman" w:hAnsi="Times New Roman" w:cs="Times New Roman"/>
                <w:sz w:val="20"/>
                <w:szCs w:val="20"/>
              </w:rPr>
            </w:pPr>
          </w:p>
        </w:tc>
      </w:tr>
      <w:tr w:rsidR="00B64B7D" w14:paraId="4F618BB4" w14:textId="77777777">
        <w:tc>
          <w:tcPr>
            <w:tcW w:w="9180" w:type="dxa"/>
            <w:gridSpan w:val="11"/>
            <w:tcBorders>
              <w:top w:val="single" w:sz="4" w:space="0" w:color="000000"/>
              <w:left w:val="single" w:sz="4" w:space="0" w:color="000000"/>
              <w:bottom w:val="single" w:sz="4" w:space="0" w:color="FFFFFF"/>
              <w:right w:val="single" w:sz="4" w:space="0" w:color="000000"/>
            </w:tcBorders>
            <w:shd w:val="clear" w:color="auto" w:fill="E2E2E2"/>
          </w:tcPr>
          <w:p w14:paraId="00000146" w14:textId="77777777" w:rsidR="00B64B7D" w:rsidRDefault="00742C7F">
            <w:pPr>
              <w:numPr>
                <w:ilvl w:val="0"/>
                <w:numId w:val="1"/>
              </w:numPr>
              <w:ind w:left="426"/>
              <w:rPr>
                <w:rFonts w:ascii="Times New Roman" w:eastAsia="Times New Roman" w:hAnsi="Times New Roman" w:cs="Times New Roman"/>
                <w:b/>
              </w:rPr>
            </w:pPr>
            <w:r>
              <w:rPr>
                <w:rFonts w:ascii="Times New Roman" w:eastAsia="Times New Roman" w:hAnsi="Times New Roman" w:cs="Times New Roman"/>
                <w:b/>
              </w:rPr>
              <w:lastRenderedPageBreak/>
              <w:t xml:space="preserve">Transpozícia/implementácia práva EÚ </w:t>
            </w:r>
          </w:p>
        </w:tc>
      </w:tr>
      <w:tr w:rsidR="00B64B7D" w14:paraId="5DBBDF3B" w14:textId="77777777">
        <w:trPr>
          <w:trHeight w:val="157"/>
        </w:trPr>
        <w:tc>
          <w:tcPr>
            <w:tcW w:w="9180" w:type="dxa"/>
            <w:gridSpan w:val="11"/>
            <w:tcBorders>
              <w:top w:val="nil"/>
              <w:left w:val="single" w:sz="4" w:space="0" w:color="000000"/>
              <w:bottom w:val="nil"/>
              <w:right w:val="single" w:sz="4" w:space="0" w:color="000000"/>
            </w:tcBorders>
            <w:shd w:val="clear" w:color="auto" w:fill="FFFFFF"/>
          </w:tcPr>
          <w:p w14:paraId="00000151" w14:textId="77777777" w:rsidR="00B64B7D" w:rsidRDefault="00B64B7D">
            <w:pPr>
              <w:widowControl w:val="0"/>
              <w:pBdr>
                <w:top w:val="nil"/>
                <w:left w:val="nil"/>
                <w:bottom w:val="nil"/>
                <w:right w:val="nil"/>
                <w:between w:val="nil"/>
              </w:pBdr>
              <w:spacing w:line="276" w:lineRule="auto"/>
              <w:rPr>
                <w:rFonts w:ascii="Times New Roman" w:eastAsia="Times New Roman" w:hAnsi="Times New Roman" w:cs="Times New Roman"/>
                <w:b/>
              </w:rPr>
            </w:pPr>
          </w:p>
          <w:tbl>
            <w:tblPr>
              <w:tblStyle w:val="a0"/>
              <w:tblW w:w="8733" w:type="dxa"/>
              <w:tblInd w:w="0" w:type="dxa"/>
              <w:tblBorders>
                <w:top w:val="nil"/>
                <w:left w:val="nil"/>
                <w:bottom w:val="nil"/>
                <w:right w:val="nil"/>
              </w:tblBorders>
              <w:tblLayout w:type="fixed"/>
              <w:tblLook w:val="0000" w:firstRow="0" w:lastRow="0" w:firstColumn="0" w:lastColumn="0" w:noHBand="0" w:noVBand="0"/>
            </w:tblPr>
            <w:tblGrid>
              <w:gridCol w:w="8733"/>
            </w:tblGrid>
            <w:tr w:rsidR="00B64B7D" w14:paraId="6C396436" w14:textId="77777777">
              <w:trPr>
                <w:trHeight w:val="69"/>
              </w:trPr>
              <w:tc>
                <w:tcPr>
                  <w:tcW w:w="8733" w:type="dxa"/>
                </w:tcPr>
                <w:p w14:paraId="00000152" w14:textId="77777777" w:rsidR="00B64B7D" w:rsidRDefault="00742C7F">
                  <w:pPr>
                    <w:pBdr>
                      <w:top w:val="nil"/>
                      <w:left w:val="nil"/>
                      <w:bottom w:val="nil"/>
                      <w:right w:val="nil"/>
                      <w:between w:val="nil"/>
                    </w:pBd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i/>
                      <w:color w:val="000000"/>
                      <w:sz w:val="20"/>
                      <w:szCs w:val="20"/>
                    </w:rPr>
                    <w:t xml:space="preserve">Uveďte, či v predkladanom návrhu právneho predpisu dochádza ku </w:t>
                  </w:r>
                  <w:proofErr w:type="spellStart"/>
                  <w:r>
                    <w:rPr>
                      <w:rFonts w:ascii="Times New Roman" w:eastAsia="Times New Roman" w:hAnsi="Times New Roman" w:cs="Times New Roman"/>
                      <w:i/>
                      <w:color w:val="000000"/>
                      <w:sz w:val="20"/>
                      <w:szCs w:val="20"/>
                    </w:rPr>
                    <w:t>goldplatingu</w:t>
                  </w:r>
                  <w:proofErr w:type="spellEnd"/>
                  <w:r>
                    <w:rPr>
                      <w:rFonts w:ascii="Times New Roman" w:eastAsia="Times New Roman" w:hAnsi="Times New Roman" w:cs="Times New Roman"/>
                      <w:i/>
                      <w:color w:val="000000"/>
                      <w:sz w:val="20"/>
                      <w:szCs w:val="20"/>
                    </w:rPr>
                    <w:t xml:space="preserve"> podľa tabuľky zhody, resp. či ku </w:t>
                  </w:r>
                  <w:proofErr w:type="spellStart"/>
                  <w:r>
                    <w:rPr>
                      <w:rFonts w:ascii="Times New Roman" w:eastAsia="Times New Roman" w:hAnsi="Times New Roman" w:cs="Times New Roman"/>
                      <w:i/>
                      <w:color w:val="000000"/>
                      <w:sz w:val="20"/>
                      <w:szCs w:val="20"/>
                    </w:rPr>
                    <w:t>goldplatingu</w:t>
                  </w:r>
                  <w:proofErr w:type="spellEnd"/>
                  <w:r>
                    <w:rPr>
                      <w:rFonts w:ascii="Times New Roman" w:eastAsia="Times New Roman" w:hAnsi="Times New Roman" w:cs="Times New Roman"/>
                      <w:i/>
                      <w:color w:val="000000"/>
                      <w:sz w:val="20"/>
                      <w:szCs w:val="20"/>
                    </w:rPr>
                    <w:t xml:space="preserve"> dochádza pri implementácii práva EÚ. </w:t>
                  </w:r>
                </w:p>
              </w:tc>
            </w:tr>
            <w:tr w:rsidR="00B64B7D" w14:paraId="70C65411" w14:textId="77777777">
              <w:trPr>
                <w:trHeight w:val="228"/>
              </w:trPr>
              <w:tc>
                <w:tcPr>
                  <w:tcW w:w="8733" w:type="dxa"/>
                </w:tcPr>
                <w:p w14:paraId="00000153" w14:textId="77777777" w:rsidR="00B64B7D" w:rsidRDefault="00742C7F">
                  <w:pPr>
                    <w:pBdr>
                      <w:top w:val="nil"/>
                      <w:left w:val="nil"/>
                      <w:bottom w:val="nil"/>
                      <w:right w:val="nil"/>
                      <w:between w:val="nil"/>
                    </w:pBdr>
                    <w:spacing w:after="0" w:line="240" w:lineRule="auto"/>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 xml:space="preserve">                                                                                                                               </w:t>
                  </w:r>
                  <w:r>
                    <w:rPr>
                      <w:rFonts w:ascii="MS Gothic" w:eastAsia="MS Gothic" w:hAnsi="MS Gothic" w:cs="MS Gothic"/>
                      <w:b/>
                      <w:color w:val="000000"/>
                      <w:sz w:val="20"/>
                      <w:szCs w:val="20"/>
                    </w:rPr>
                    <w:t>☐</w:t>
                  </w:r>
                  <w:r>
                    <w:rPr>
                      <w:rFonts w:ascii="Times New Roman" w:eastAsia="Times New Roman" w:hAnsi="Times New Roman" w:cs="Times New Roman"/>
                      <w:b/>
                      <w:color w:val="000000"/>
                      <w:sz w:val="20"/>
                      <w:szCs w:val="20"/>
                    </w:rPr>
                    <w:t xml:space="preserve"> Áno                  </w:t>
                  </w:r>
                  <w:r>
                    <w:rPr>
                      <w:rFonts w:ascii="MS Gothic" w:eastAsia="MS Gothic" w:hAnsi="MS Gothic" w:cs="MS Gothic"/>
                      <w:b/>
                      <w:color w:val="000000"/>
                      <w:sz w:val="20"/>
                      <w:szCs w:val="20"/>
                    </w:rPr>
                    <w:t>☒</w:t>
                  </w:r>
                  <w:r>
                    <w:rPr>
                      <w:rFonts w:ascii="Times New Roman" w:eastAsia="Times New Roman" w:hAnsi="Times New Roman" w:cs="Times New Roman"/>
                      <w:b/>
                      <w:color w:val="000000"/>
                      <w:sz w:val="20"/>
                      <w:szCs w:val="20"/>
                    </w:rPr>
                    <w:t xml:space="preserve"> Nie</w:t>
                  </w:r>
                </w:p>
                <w:p w14:paraId="00000154" w14:textId="77777777" w:rsidR="00B64B7D" w:rsidRDefault="00B64B7D">
                  <w:pPr>
                    <w:pBdr>
                      <w:top w:val="nil"/>
                      <w:left w:val="nil"/>
                      <w:bottom w:val="nil"/>
                      <w:right w:val="nil"/>
                      <w:between w:val="nil"/>
                    </w:pBdr>
                    <w:spacing w:after="0" w:line="240" w:lineRule="auto"/>
                    <w:rPr>
                      <w:rFonts w:ascii="Times New Roman" w:eastAsia="Times New Roman" w:hAnsi="Times New Roman" w:cs="Times New Roman"/>
                      <w:color w:val="000000"/>
                      <w:sz w:val="20"/>
                      <w:szCs w:val="20"/>
                    </w:rPr>
                  </w:pPr>
                </w:p>
              </w:tc>
            </w:tr>
            <w:tr w:rsidR="00B64B7D" w14:paraId="0393F21C" w14:textId="77777777">
              <w:trPr>
                <w:trHeight w:val="228"/>
              </w:trPr>
              <w:tc>
                <w:tcPr>
                  <w:tcW w:w="8733" w:type="dxa"/>
                </w:tcPr>
                <w:sdt>
                  <w:sdtPr>
                    <w:tag w:val="goog_rdk_27"/>
                    <w:id w:val="850449268"/>
                  </w:sdtPr>
                  <w:sdtContent>
                    <w:p w14:paraId="00000155" w14:textId="61E7441E" w:rsidR="00B64B7D" w:rsidRPr="002D556B" w:rsidRDefault="00000000">
                      <w:pPr>
                        <w:spacing w:after="240"/>
                        <w:jc w:val="both"/>
                        <w:rPr>
                          <w:rFonts w:ascii="Times New Roman" w:eastAsia="Times New Roman" w:hAnsi="Times New Roman" w:cs="Times New Roman"/>
                          <w:i/>
                          <w:color w:val="1155CC"/>
                          <w:sz w:val="20"/>
                          <w:szCs w:val="20"/>
                          <w:u w:val="single"/>
                        </w:rPr>
                      </w:pPr>
                      <w:sdt>
                        <w:sdtPr>
                          <w:tag w:val="goog_rdk_23"/>
                          <w:id w:val="588099123"/>
                        </w:sdtPr>
                        <w:sdtContent>
                          <w:sdt>
                            <w:sdtPr>
                              <w:tag w:val="goog_rdk_24"/>
                              <w:id w:val="-1083606240"/>
                            </w:sdtPr>
                            <w:sdtContent>
                              <w:proofErr w:type="spellStart"/>
                              <w:r w:rsidR="00742C7F" w:rsidRPr="002D556B">
                                <w:rPr>
                                  <w:rFonts w:ascii="Times New Roman" w:eastAsia="Times New Roman" w:hAnsi="Times New Roman" w:cs="Times New Roman"/>
                                  <w:sz w:val="24"/>
                                  <w:szCs w:val="24"/>
                                </w:rPr>
                                <w:t>Goldplating</w:t>
                              </w:r>
                              <w:proofErr w:type="spellEnd"/>
                              <w:r w:rsidR="00742C7F" w:rsidRPr="002D556B">
                                <w:rPr>
                                  <w:rFonts w:ascii="Times New Roman" w:eastAsia="Times New Roman" w:hAnsi="Times New Roman" w:cs="Times New Roman"/>
                                  <w:sz w:val="24"/>
                                  <w:szCs w:val="24"/>
                                </w:rPr>
                                <w:t xml:space="preserve"> s vplyvom na podnikateľské prostredie, identifikovaný v priloženej tabuľke zhody Tabuľka zhody - KF, MF, RTF je riadne popísaný v sprievodnom materiáli k „Návrhu nariadenia vlády Slovenskej republiky, ktorým sa mení a dopĺňa nariadenie vlády Slovenskej republiky č. 121/2024 Z. z. o ochrane zdravia zamestnancov pred rizikami súvisiacimi s expozíciou karcinogénnym faktorom, mutagénnym faktorom alebo reprodukčne toxickým faktorom pri práci“, ktorý bol predmetom predbežného pripomienkového konania v termíne 6.5. – 15.5.2025 a bol následne predložený do medzirezortného pripomienkového konania od 3.6.2025 do 23.6.2025 (</w:t>
                              </w:r>
                              <w:proofErr w:type="spellStart"/>
                              <w:r w:rsidR="00742C7F" w:rsidRPr="002D556B">
                                <w:rPr>
                                  <w:rFonts w:ascii="Times New Roman" w:eastAsia="Times New Roman" w:hAnsi="Times New Roman" w:cs="Times New Roman"/>
                                  <w:sz w:val="24"/>
                                  <w:szCs w:val="24"/>
                                </w:rPr>
                                <w:t>link</w:t>
                              </w:r>
                              <w:proofErr w:type="spellEnd"/>
                              <w:r w:rsidR="00742C7F" w:rsidRPr="002D556B">
                                <w:rPr>
                                  <w:rFonts w:ascii="Times New Roman" w:eastAsia="Times New Roman" w:hAnsi="Times New Roman" w:cs="Times New Roman"/>
                                  <w:sz w:val="24"/>
                                  <w:szCs w:val="24"/>
                                </w:rPr>
                                <w:t>:</w:t>
                              </w:r>
                            </w:sdtContent>
                          </w:sdt>
                          <w:hyperlink r:id="rId8" w:history="1">
                            <w:r w:rsidR="00742C7F">
                              <w:rPr>
                                <w:rFonts w:ascii="Times New Roman" w:eastAsia="Times New Roman" w:hAnsi="Times New Roman" w:cs="Times New Roman"/>
                                <w:sz w:val="24"/>
                                <w:szCs w:val="24"/>
                              </w:rPr>
                              <w:t xml:space="preserve"> </w:t>
                            </w:r>
                          </w:hyperlink>
                          <w:hyperlink r:id="rId9" w:history="1">
                            <w:r w:rsidR="00742C7F">
                              <w:rPr>
                                <w:rFonts w:ascii="Times New Roman" w:eastAsia="Times New Roman" w:hAnsi="Times New Roman" w:cs="Times New Roman"/>
                                <w:i/>
                                <w:color w:val="1155CC"/>
                                <w:sz w:val="20"/>
                                <w:szCs w:val="20"/>
                                <w:u w:val="single"/>
                              </w:rPr>
                              <w:t>https://www.slov-lex.sk/elegislativa/legislativne-procesy/SK/LP/2025/281</w:t>
                            </w:r>
                          </w:hyperlink>
                          <w:sdt>
                            <w:sdtPr>
                              <w:tag w:val="goog_rdk_25"/>
                              <w:id w:val="1001732568"/>
                            </w:sdtPr>
                            <w:sdtContent>
                              <w:r w:rsidR="00742C7F" w:rsidRPr="002D556B">
                                <w:t>).</w:t>
                              </w:r>
                            </w:sdtContent>
                          </w:sdt>
                          <w:sdt>
                            <w:sdtPr>
                              <w:tag w:val="goog_rdk_26"/>
                              <w:id w:val="2141012850"/>
                            </w:sdtPr>
                            <w:sdtContent/>
                          </w:sdt>
                        </w:sdtContent>
                      </w:sdt>
                    </w:p>
                    <w:p w14:paraId="00000156" w14:textId="3BFC8781" w:rsidR="00B64B7D" w:rsidRDefault="00000000">
                      <w:pPr>
                        <w:jc w:val="both"/>
                        <w:rPr>
                          <w:rFonts w:ascii="Quattrocento Sans" w:eastAsia="Quattrocento Sans" w:hAnsi="Quattrocento Sans" w:cs="Quattrocento Sans"/>
                          <w:sz w:val="20"/>
                          <w:szCs w:val="20"/>
                        </w:rPr>
                      </w:pPr>
                      <w:sdt>
                        <w:sdtPr>
                          <w:tag w:val="goog_rdk_28"/>
                          <w:id w:val="-691560679"/>
                        </w:sdtPr>
                        <w:sdtContent>
                          <w:sdt>
                            <w:sdtPr>
                              <w:tag w:val="goog_rdk_29"/>
                              <w:id w:val="1788064967"/>
                            </w:sdtPr>
                            <w:sdtContent>
                              <w:proofErr w:type="spellStart"/>
                              <w:r w:rsidR="00742C7F" w:rsidRPr="002D556B">
                                <w:rPr>
                                  <w:rFonts w:ascii="Times New Roman" w:eastAsia="Times New Roman" w:hAnsi="Times New Roman" w:cs="Times New Roman"/>
                                  <w:sz w:val="24"/>
                                  <w:szCs w:val="24"/>
                                </w:rPr>
                                <w:t>Goldplating</w:t>
                              </w:r>
                              <w:proofErr w:type="spellEnd"/>
                              <w:r w:rsidR="00742C7F" w:rsidRPr="002D556B">
                                <w:rPr>
                                  <w:rFonts w:ascii="Times New Roman" w:eastAsia="Times New Roman" w:hAnsi="Times New Roman" w:cs="Times New Roman"/>
                                  <w:sz w:val="24"/>
                                  <w:szCs w:val="24"/>
                                </w:rPr>
                                <w:t xml:space="preserve"> s vplyvom na podnikateľské prostredie, identifikovaný v priloženej tabuľke zhody Tabuľka zhody - azbest, je riadne popísaný v sprievodnom materiáli k „Návrhu nariadenia vlády Slovenskej republiky o ochrane zamestnancov pred rizikami súvisiacimi s expozíciou azbestu pri práci“, ktorý bol predmetom predbežného pripomienkového konania v termíne 6.5. – 15.5.2025 a bol následne predložený do medzirezortného pripomienkového konania od 3.6.2025 do 23.6.2025 (</w:t>
                              </w:r>
                              <w:proofErr w:type="spellStart"/>
                              <w:r w:rsidR="00742C7F" w:rsidRPr="002D556B">
                                <w:rPr>
                                  <w:rFonts w:ascii="Times New Roman" w:eastAsia="Times New Roman" w:hAnsi="Times New Roman" w:cs="Times New Roman"/>
                                  <w:sz w:val="24"/>
                                  <w:szCs w:val="24"/>
                                </w:rPr>
                                <w:t>link</w:t>
                              </w:r>
                              <w:proofErr w:type="spellEnd"/>
                              <w:r w:rsidR="00742C7F" w:rsidRPr="002D556B">
                                <w:rPr>
                                  <w:rFonts w:ascii="Times New Roman" w:eastAsia="Times New Roman" w:hAnsi="Times New Roman" w:cs="Times New Roman"/>
                                  <w:sz w:val="24"/>
                                  <w:szCs w:val="24"/>
                                </w:rPr>
                                <w:t>:</w:t>
                              </w:r>
                            </w:sdtContent>
                          </w:sdt>
                          <w:hyperlink r:id="rId10" w:history="1">
                            <w:r w:rsidR="00742C7F">
                              <w:rPr>
                                <w:rFonts w:ascii="Times New Roman" w:eastAsia="Times New Roman" w:hAnsi="Times New Roman" w:cs="Times New Roman"/>
                                <w:sz w:val="24"/>
                                <w:szCs w:val="24"/>
                              </w:rPr>
                              <w:t xml:space="preserve"> </w:t>
                            </w:r>
                          </w:hyperlink>
                          <w:hyperlink r:id="rId11" w:history="1">
                            <w:r w:rsidR="00742C7F">
                              <w:rPr>
                                <w:rFonts w:ascii="Times New Roman" w:eastAsia="Times New Roman" w:hAnsi="Times New Roman" w:cs="Times New Roman"/>
                                <w:i/>
                                <w:color w:val="1155CC"/>
                                <w:sz w:val="20"/>
                                <w:szCs w:val="20"/>
                                <w:u w:val="single"/>
                              </w:rPr>
                              <w:t>https://www.slov-lex.sk/elegislativa/legislativne-procesy/SK/LP/2025/280</w:t>
                            </w:r>
                          </w:hyperlink>
                          <w:sdt>
                            <w:sdtPr>
                              <w:tag w:val="goog_rdk_30"/>
                              <w:id w:val="-1039288197"/>
                            </w:sdtPr>
                            <w:sdtContent>
                              <w:r w:rsidR="00742C7F" w:rsidRPr="002D556B">
                                <w:t>).</w:t>
                              </w:r>
                            </w:sdtContent>
                          </w:sdt>
                        </w:sdtContent>
                      </w:sdt>
                    </w:p>
                  </w:sdtContent>
                </w:sdt>
              </w:tc>
            </w:tr>
          </w:tbl>
          <w:p w14:paraId="00000157" w14:textId="77777777" w:rsidR="00B64B7D" w:rsidRDefault="00B64B7D">
            <w:pPr>
              <w:jc w:val="both"/>
              <w:rPr>
                <w:rFonts w:ascii="Times New Roman" w:eastAsia="Times New Roman" w:hAnsi="Times New Roman" w:cs="Times New Roman"/>
                <w:i/>
                <w:sz w:val="20"/>
                <w:szCs w:val="20"/>
              </w:rPr>
            </w:pPr>
          </w:p>
        </w:tc>
      </w:tr>
      <w:tr w:rsidR="00B64B7D" w14:paraId="0B6FCA15" w14:textId="77777777">
        <w:trPr>
          <w:trHeight w:val="248"/>
        </w:trPr>
        <w:tc>
          <w:tcPr>
            <w:tcW w:w="9180" w:type="dxa"/>
            <w:gridSpan w:val="11"/>
            <w:tcBorders>
              <w:top w:val="nil"/>
              <w:left w:val="single" w:sz="4" w:space="0" w:color="000000"/>
              <w:bottom w:val="single" w:sz="4" w:space="0" w:color="000000"/>
              <w:right w:val="single" w:sz="4" w:space="0" w:color="000000"/>
            </w:tcBorders>
            <w:shd w:val="clear" w:color="auto" w:fill="FFFFFF"/>
          </w:tcPr>
          <w:p w14:paraId="00000162" w14:textId="77777777" w:rsidR="00B64B7D" w:rsidRDefault="00B64B7D">
            <w:pPr>
              <w:rPr>
                <w:rFonts w:ascii="Times New Roman" w:eastAsia="Times New Roman" w:hAnsi="Times New Roman" w:cs="Times New Roman"/>
                <w:sz w:val="20"/>
                <w:szCs w:val="20"/>
              </w:rPr>
            </w:pPr>
          </w:p>
        </w:tc>
      </w:tr>
      <w:tr w:rsidR="00B64B7D" w14:paraId="5AA82D77" w14:textId="77777777">
        <w:tc>
          <w:tcPr>
            <w:tcW w:w="9180" w:type="dxa"/>
            <w:gridSpan w:val="11"/>
            <w:tcBorders>
              <w:top w:val="single" w:sz="4" w:space="0" w:color="000000"/>
              <w:left w:val="single" w:sz="4" w:space="0" w:color="000000"/>
              <w:bottom w:val="single" w:sz="4" w:space="0" w:color="FFFFFF"/>
              <w:right w:val="single" w:sz="4" w:space="0" w:color="000000"/>
            </w:tcBorders>
            <w:shd w:val="clear" w:color="auto" w:fill="E2E2E2"/>
          </w:tcPr>
          <w:p w14:paraId="0000016D" w14:textId="77777777" w:rsidR="00B64B7D" w:rsidRDefault="00742C7F">
            <w:pPr>
              <w:numPr>
                <w:ilvl w:val="0"/>
                <w:numId w:val="1"/>
              </w:numPr>
              <w:ind w:left="426"/>
              <w:rPr>
                <w:rFonts w:ascii="Times New Roman" w:eastAsia="Times New Roman" w:hAnsi="Times New Roman" w:cs="Times New Roman"/>
                <w:b/>
              </w:rPr>
            </w:pPr>
            <w:r>
              <w:rPr>
                <w:rFonts w:ascii="Times New Roman" w:eastAsia="Times New Roman" w:hAnsi="Times New Roman" w:cs="Times New Roman"/>
                <w:b/>
              </w:rPr>
              <w:t>Preskúmanie účelnosti</w:t>
            </w:r>
          </w:p>
        </w:tc>
      </w:tr>
      <w:tr w:rsidR="00B64B7D" w14:paraId="00E52406" w14:textId="77777777">
        <w:tc>
          <w:tcPr>
            <w:tcW w:w="9180" w:type="dxa"/>
            <w:gridSpan w:val="11"/>
            <w:tcBorders>
              <w:top w:val="single" w:sz="4" w:space="0" w:color="FFFFFF"/>
              <w:left w:val="single" w:sz="4" w:space="0" w:color="000000"/>
              <w:bottom w:val="single" w:sz="4" w:space="0" w:color="000000"/>
              <w:right w:val="single" w:sz="4" w:space="0" w:color="000000"/>
            </w:tcBorders>
            <w:shd w:val="clear" w:color="auto" w:fill="FFFFFF"/>
          </w:tcPr>
          <w:p w14:paraId="00000178" w14:textId="77777777" w:rsidR="00B64B7D" w:rsidRDefault="00742C7F">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Preskúmanie účelnosti navrhovaného právneho predpisu bude vykonávané päť rokov po nadobudnutí jeho účinnosti, pričom sa bude preskúmavať naplnenie cieľov návrhu zákona v aplikačnej praxi.</w:t>
            </w:r>
          </w:p>
          <w:p w14:paraId="00000179" w14:textId="77777777" w:rsidR="00B64B7D" w:rsidRDefault="00B64B7D">
            <w:pPr>
              <w:rPr>
                <w:rFonts w:ascii="Times New Roman" w:eastAsia="Times New Roman" w:hAnsi="Times New Roman" w:cs="Times New Roman"/>
                <w:i/>
                <w:sz w:val="20"/>
                <w:szCs w:val="20"/>
              </w:rPr>
            </w:pPr>
          </w:p>
        </w:tc>
      </w:tr>
      <w:tr w:rsidR="00B64B7D" w14:paraId="71A39BF8" w14:textId="77777777">
        <w:tc>
          <w:tcPr>
            <w:tcW w:w="9180" w:type="dxa"/>
            <w:gridSpan w:val="11"/>
            <w:tcBorders>
              <w:top w:val="nil"/>
              <w:left w:val="nil"/>
              <w:bottom w:val="single" w:sz="4" w:space="0" w:color="000000"/>
              <w:right w:val="nil"/>
            </w:tcBorders>
            <w:shd w:val="clear" w:color="auto" w:fill="FFFFFF"/>
          </w:tcPr>
          <w:p w14:paraId="00000184" w14:textId="77777777" w:rsidR="00B64B7D" w:rsidRDefault="00B64B7D">
            <w:pPr>
              <w:jc w:val="both"/>
              <w:rPr>
                <w:rFonts w:ascii="Times New Roman" w:eastAsia="Times New Roman" w:hAnsi="Times New Roman" w:cs="Times New Roman"/>
                <w:b/>
                <w:sz w:val="20"/>
                <w:szCs w:val="20"/>
              </w:rPr>
            </w:pPr>
          </w:p>
          <w:p w14:paraId="00000185" w14:textId="77777777" w:rsidR="00B64B7D" w:rsidRDefault="00B64B7D">
            <w:pPr>
              <w:jc w:val="both"/>
              <w:rPr>
                <w:rFonts w:ascii="Times New Roman" w:eastAsia="Times New Roman" w:hAnsi="Times New Roman" w:cs="Times New Roman"/>
                <w:b/>
                <w:sz w:val="20"/>
                <w:szCs w:val="20"/>
              </w:rPr>
            </w:pPr>
          </w:p>
          <w:p w14:paraId="00000186" w14:textId="77777777" w:rsidR="00B64B7D" w:rsidRDefault="00742C7F">
            <w:pPr>
              <w:ind w:left="142" w:hanging="142"/>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vyplniť iba v prípade, ak materiál nie je zahrnutý do Plánu práce vlády Slovenskej republiky alebo Plánu        legislatívnych úloh vlády Slovenskej republiky. </w:t>
            </w:r>
          </w:p>
          <w:p w14:paraId="00000187" w14:textId="77777777" w:rsidR="00B64B7D" w:rsidRDefault="00742C7F">
            <w:pPr>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vyplniť iba v prípade, ak sa záverečné posúdenie vybraných vplyvov uskutočnilo v zmysle bodu 9.1. jednotnej metodiky.</w:t>
            </w:r>
          </w:p>
          <w:p w14:paraId="00000188" w14:textId="77777777" w:rsidR="00B64B7D" w:rsidRDefault="00742C7F">
            <w:pPr>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posudzovanie sa týka len zmien v I. a II. pilieri univerzálneho systému dôchodkového zabezpečenia s identifikovaným dopadom od 0,1 % HDP (vrátane) na dlhodobom horizonte.</w:t>
            </w:r>
          </w:p>
          <w:p w14:paraId="00000189" w14:textId="77777777" w:rsidR="00B64B7D" w:rsidRDefault="00B64B7D">
            <w:pPr>
              <w:jc w:val="both"/>
              <w:rPr>
                <w:rFonts w:ascii="Times New Roman" w:eastAsia="Times New Roman" w:hAnsi="Times New Roman" w:cs="Times New Roman"/>
                <w:sz w:val="20"/>
                <w:szCs w:val="20"/>
              </w:rPr>
            </w:pPr>
          </w:p>
          <w:p w14:paraId="0000018A" w14:textId="77777777" w:rsidR="00B64B7D" w:rsidRDefault="00B64B7D">
            <w:pPr>
              <w:jc w:val="both"/>
              <w:rPr>
                <w:rFonts w:ascii="Times New Roman" w:eastAsia="Times New Roman" w:hAnsi="Times New Roman" w:cs="Times New Roman"/>
                <w:b/>
                <w:sz w:val="20"/>
                <w:szCs w:val="20"/>
              </w:rPr>
            </w:pPr>
          </w:p>
        </w:tc>
      </w:tr>
      <w:tr w:rsidR="00B64B7D" w14:paraId="2CA3763A" w14:textId="77777777">
        <w:trPr>
          <w:trHeight w:val="283"/>
        </w:trPr>
        <w:tc>
          <w:tcPr>
            <w:tcW w:w="9180" w:type="dxa"/>
            <w:gridSpan w:val="11"/>
            <w:tcBorders>
              <w:top w:val="single" w:sz="4" w:space="0" w:color="000000"/>
              <w:left w:val="single" w:sz="4" w:space="0" w:color="000000"/>
              <w:bottom w:val="single" w:sz="4" w:space="0" w:color="FFFFFF"/>
              <w:right w:val="single" w:sz="4" w:space="0" w:color="000000"/>
            </w:tcBorders>
            <w:shd w:val="clear" w:color="auto" w:fill="E2E2E2"/>
            <w:vAlign w:val="center"/>
          </w:tcPr>
          <w:p w14:paraId="00000195" w14:textId="77777777" w:rsidR="00B64B7D" w:rsidRDefault="00742C7F">
            <w:pPr>
              <w:numPr>
                <w:ilvl w:val="0"/>
                <w:numId w:val="1"/>
              </w:numPr>
              <w:ind w:left="426"/>
              <w:rPr>
                <w:rFonts w:ascii="Times New Roman" w:eastAsia="Times New Roman" w:hAnsi="Times New Roman" w:cs="Times New Roman"/>
                <w:b/>
              </w:rPr>
            </w:pPr>
            <w:r>
              <w:rPr>
                <w:rFonts w:ascii="Times New Roman" w:eastAsia="Times New Roman" w:hAnsi="Times New Roman" w:cs="Times New Roman"/>
                <w:b/>
              </w:rPr>
              <w:t>Vybrané vplyvy  materiálu</w:t>
            </w:r>
          </w:p>
        </w:tc>
      </w:tr>
      <w:tr w:rsidR="00B64B7D" w14:paraId="15FB5B20" w14:textId="77777777">
        <w:tc>
          <w:tcPr>
            <w:tcW w:w="3812" w:type="dxa"/>
            <w:tcBorders>
              <w:top w:val="single" w:sz="4" w:space="0" w:color="000000"/>
              <w:left w:val="single" w:sz="4" w:space="0" w:color="000000"/>
              <w:bottom w:val="nil"/>
              <w:right w:val="single" w:sz="4" w:space="0" w:color="000000"/>
            </w:tcBorders>
          </w:tcPr>
          <w:p w14:paraId="000001A0" w14:textId="77777777" w:rsidR="00B64B7D" w:rsidRDefault="00742C7F">
            <w:pPr>
              <w:rPr>
                <w:rFonts w:ascii="Times New Roman" w:eastAsia="Times New Roman" w:hAnsi="Times New Roman" w:cs="Times New Roman"/>
                <w:b/>
                <w:sz w:val="20"/>
                <w:szCs w:val="20"/>
              </w:rPr>
            </w:pPr>
            <w:r>
              <w:rPr>
                <w:rFonts w:ascii="Times New Roman" w:eastAsia="Times New Roman" w:hAnsi="Times New Roman" w:cs="Times New Roman"/>
                <w:b/>
                <w:sz w:val="20"/>
                <w:szCs w:val="20"/>
              </w:rPr>
              <w:t>Vplyvy na rozpočet verejnej správy</w:t>
            </w:r>
          </w:p>
        </w:tc>
        <w:tc>
          <w:tcPr>
            <w:tcW w:w="541" w:type="dxa"/>
            <w:gridSpan w:val="2"/>
            <w:tcBorders>
              <w:top w:val="single" w:sz="4" w:space="0" w:color="000000"/>
              <w:left w:val="single" w:sz="4" w:space="0" w:color="000000"/>
              <w:bottom w:val="dotted" w:sz="4" w:space="0" w:color="000000"/>
              <w:right w:val="nil"/>
            </w:tcBorders>
          </w:tcPr>
          <w:p w14:paraId="000001A1" w14:textId="77777777" w:rsidR="00B64B7D" w:rsidRDefault="00742C7F">
            <w:pPr>
              <w:jc w:val="center"/>
              <w:rPr>
                <w:rFonts w:ascii="Times New Roman" w:eastAsia="Times New Roman" w:hAnsi="Times New Roman" w:cs="Times New Roman"/>
                <w:b/>
                <w:sz w:val="20"/>
                <w:szCs w:val="20"/>
              </w:rPr>
            </w:pPr>
            <w:r>
              <w:rPr>
                <w:rFonts w:ascii="MS Gothic" w:eastAsia="MS Gothic" w:hAnsi="MS Gothic" w:cs="MS Gothic"/>
                <w:b/>
                <w:sz w:val="20"/>
                <w:szCs w:val="20"/>
              </w:rPr>
              <w:t>☐</w:t>
            </w:r>
          </w:p>
        </w:tc>
        <w:tc>
          <w:tcPr>
            <w:tcW w:w="1312" w:type="dxa"/>
            <w:gridSpan w:val="2"/>
            <w:tcBorders>
              <w:top w:val="single" w:sz="4" w:space="0" w:color="000000"/>
              <w:left w:val="nil"/>
              <w:bottom w:val="dotted" w:sz="4" w:space="0" w:color="000000"/>
              <w:right w:val="nil"/>
            </w:tcBorders>
          </w:tcPr>
          <w:p w14:paraId="000001A3" w14:textId="77777777" w:rsidR="00B64B7D" w:rsidRDefault="00742C7F">
            <w:pPr>
              <w:rPr>
                <w:rFonts w:ascii="Times New Roman" w:eastAsia="Times New Roman" w:hAnsi="Times New Roman" w:cs="Times New Roman"/>
                <w:b/>
                <w:sz w:val="20"/>
                <w:szCs w:val="20"/>
              </w:rPr>
            </w:pPr>
            <w:r>
              <w:rPr>
                <w:rFonts w:ascii="Times New Roman" w:eastAsia="Times New Roman" w:hAnsi="Times New Roman" w:cs="Times New Roman"/>
                <w:b/>
                <w:sz w:val="20"/>
                <w:szCs w:val="20"/>
              </w:rPr>
              <w:t>Pozitívne</w:t>
            </w:r>
          </w:p>
        </w:tc>
        <w:tc>
          <w:tcPr>
            <w:tcW w:w="538" w:type="dxa"/>
            <w:gridSpan w:val="2"/>
            <w:tcBorders>
              <w:top w:val="single" w:sz="4" w:space="0" w:color="000000"/>
              <w:left w:val="nil"/>
              <w:bottom w:val="dotted" w:sz="4" w:space="0" w:color="000000"/>
              <w:right w:val="nil"/>
            </w:tcBorders>
          </w:tcPr>
          <w:p w14:paraId="000001A5" w14:textId="77777777" w:rsidR="00B64B7D" w:rsidRDefault="00742C7F">
            <w:pPr>
              <w:jc w:val="center"/>
              <w:rPr>
                <w:rFonts w:ascii="Times New Roman" w:eastAsia="Times New Roman" w:hAnsi="Times New Roman" w:cs="Times New Roman"/>
                <w:b/>
                <w:sz w:val="20"/>
                <w:szCs w:val="20"/>
              </w:rPr>
            </w:pPr>
            <w:r>
              <w:rPr>
                <w:rFonts w:ascii="MS Gothic" w:eastAsia="MS Gothic" w:hAnsi="MS Gothic" w:cs="MS Gothic"/>
                <w:b/>
                <w:sz w:val="20"/>
                <w:szCs w:val="20"/>
              </w:rPr>
              <w:t>☐</w:t>
            </w:r>
          </w:p>
        </w:tc>
        <w:tc>
          <w:tcPr>
            <w:tcW w:w="1133" w:type="dxa"/>
            <w:tcBorders>
              <w:top w:val="single" w:sz="4" w:space="0" w:color="000000"/>
              <w:left w:val="nil"/>
              <w:bottom w:val="dotted" w:sz="4" w:space="0" w:color="000000"/>
              <w:right w:val="nil"/>
            </w:tcBorders>
          </w:tcPr>
          <w:p w14:paraId="000001A7" w14:textId="77777777" w:rsidR="00B64B7D" w:rsidRDefault="00742C7F">
            <w:pPr>
              <w:rPr>
                <w:rFonts w:ascii="Times New Roman" w:eastAsia="Times New Roman" w:hAnsi="Times New Roman" w:cs="Times New Roman"/>
                <w:b/>
                <w:sz w:val="20"/>
                <w:szCs w:val="20"/>
              </w:rPr>
            </w:pPr>
            <w:r>
              <w:rPr>
                <w:rFonts w:ascii="Times New Roman" w:eastAsia="Times New Roman" w:hAnsi="Times New Roman" w:cs="Times New Roman"/>
                <w:b/>
                <w:sz w:val="20"/>
                <w:szCs w:val="20"/>
              </w:rPr>
              <w:t>Žiadne</w:t>
            </w:r>
          </w:p>
        </w:tc>
        <w:tc>
          <w:tcPr>
            <w:tcW w:w="547" w:type="dxa"/>
            <w:gridSpan w:val="2"/>
            <w:tcBorders>
              <w:top w:val="single" w:sz="4" w:space="0" w:color="000000"/>
              <w:left w:val="nil"/>
              <w:bottom w:val="dotted" w:sz="4" w:space="0" w:color="000000"/>
              <w:right w:val="nil"/>
            </w:tcBorders>
          </w:tcPr>
          <w:p w14:paraId="000001A8" w14:textId="77777777" w:rsidR="00B64B7D" w:rsidRDefault="00742C7F">
            <w:pPr>
              <w:ind w:left="-107" w:right="-108"/>
              <w:jc w:val="center"/>
              <w:rPr>
                <w:rFonts w:ascii="Times New Roman" w:eastAsia="Times New Roman" w:hAnsi="Times New Roman" w:cs="Times New Roman"/>
                <w:b/>
                <w:sz w:val="20"/>
                <w:szCs w:val="20"/>
              </w:rPr>
            </w:pPr>
            <w:r>
              <w:rPr>
                <w:rFonts w:ascii="MS Gothic" w:eastAsia="MS Gothic" w:hAnsi="MS Gothic" w:cs="MS Gothic"/>
                <w:b/>
                <w:sz w:val="20"/>
                <w:szCs w:val="20"/>
              </w:rPr>
              <w:t>☒</w:t>
            </w:r>
          </w:p>
        </w:tc>
        <w:tc>
          <w:tcPr>
            <w:tcW w:w="1297" w:type="dxa"/>
            <w:tcBorders>
              <w:top w:val="single" w:sz="4" w:space="0" w:color="000000"/>
              <w:left w:val="nil"/>
              <w:bottom w:val="dotted" w:sz="4" w:space="0" w:color="000000"/>
              <w:right w:val="single" w:sz="4" w:space="0" w:color="000000"/>
            </w:tcBorders>
          </w:tcPr>
          <w:p w14:paraId="000001AA" w14:textId="77777777" w:rsidR="00B64B7D" w:rsidRDefault="00742C7F">
            <w:pPr>
              <w:ind w:left="34"/>
              <w:rPr>
                <w:rFonts w:ascii="Times New Roman" w:eastAsia="Times New Roman" w:hAnsi="Times New Roman" w:cs="Times New Roman"/>
                <w:b/>
                <w:sz w:val="20"/>
                <w:szCs w:val="20"/>
              </w:rPr>
            </w:pPr>
            <w:r>
              <w:rPr>
                <w:rFonts w:ascii="Times New Roman" w:eastAsia="Times New Roman" w:hAnsi="Times New Roman" w:cs="Times New Roman"/>
                <w:b/>
                <w:sz w:val="20"/>
                <w:szCs w:val="20"/>
              </w:rPr>
              <w:t>Negatívne</w:t>
            </w:r>
          </w:p>
        </w:tc>
      </w:tr>
      <w:tr w:rsidR="00B64B7D" w14:paraId="66E39C1C" w14:textId="77777777">
        <w:trPr>
          <w:trHeight w:val="614"/>
        </w:trPr>
        <w:tc>
          <w:tcPr>
            <w:tcW w:w="3812" w:type="dxa"/>
            <w:tcBorders>
              <w:top w:val="nil"/>
              <w:left w:val="single" w:sz="4" w:space="0" w:color="000000"/>
              <w:bottom w:val="nil"/>
              <w:right w:val="single" w:sz="4" w:space="0" w:color="000000"/>
            </w:tcBorders>
          </w:tcPr>
          <w:p w14:paraId="000001AB" w14:textId="77777777" w:rsidR="00B64B7D" w:rsidRDefault="00742C7F">
            <w:pPr>
              <w:rPr>
                <w:rFonts w:ascii="Times New Roman" w:eastAsia="Times New Roman" w:hAnsi="Times New Roman" w:cs="Times New Roman"/>
                <w:sz w:val="20"/>
                <w:szCs w:val="20"/>
              </w:rPr>
            </w:pPr>
            <w:r>
              <w:rPr>
                <w:rFonts w:ascii="Times New Roman" w:eastAsia="Times New Roman" w:hAnsi="Times New Roman" w:cs="Times New Roman"/>
                <w:sz w:val="20"/>
                <w:szCs w:val="20"/>
              </w:rPr>
              <w:lastRenderedPageBreak/>
              <w:t xml:space="preserve">    z toho rozpočtovo zabezpečené vplyvy,         </w:t>
            </w:r>
          </w:p>
          <w:p w14:paraId="000001AC" w14:textId="77777777" w:rsidR="00B64B7D" w:rsidRDefault="00742C7F">
            <w:pP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v prípade identifikovaného negatívneho </w:t>
            </w:r>
          </w:p>
          <w:p w14:paraId="000001AD" w14:textId="77777777" w:rsidR="00B64B7D" w:rsidRDefault="00742C7F">
            <w:pP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vplyvu</w:t>
            </w:r>
          </w:p>
        </w:tc>
        <w:tc>
          <w:tcPr>
            <w:tcW w:w="541" w:type="dxa"/>
            <w:gridSpan w:val="2"/>
            <w:tcBorders>
              <w:top w:val="dotted" w:sz="4" w:space="0" w:color="000000"/>
              <w:left w:val="single" w:sz="4" w:space="0" w:color="000000"/>
              <w:bottom w:val="dotted" w:sz="4" w:space="0" w:color="000000"/>
              <w:right w:val="nil"/>
            </w:tcBorders>
            <w:vAlign w:val="center"/>
          </w:tcPr>
          <w:p w14:paraId="000001AE" w14:textId="4A3B7047" w:rsidR="00B64B7D" w:rsidRDefault="00CE21A1">
            <w:pPr>
              <w:jc w:val="center"/>
              <w:rPr>
                <w:rFonts w:ascii="Times New Roman" w:eastAsia="Times New Roman" w:hAnsi="Times New Roman" w:cs="Times New Roman"/>
                <w:sz w:val="20"/>
                <w:szCs w:val="20"/>
              </w:rPr>
            </w:pPr>
            <w:r w:rsidRPr="00954A73">
              <w:rPr>
                <w:rFonts w:ascii="MS Gothic" w:eastAsia="MS Gothic" w:hAnsi="MS Gothic" w:cs="MS Gothic"/>
                <w:b/>
                <w:sz w:val="20"/>
                <w:szCs w:val="20"/>
              </w:rPr>
              <w:t>☒</w:t>
            </w:r>
          </w:p>
        </w:tc>
        <w:tc>
          <w:tcPr>
            <w:tcW w:w="1312" w:type="dxa"/>
            <w:gridSpan w:val="2"/>
            <w:tcBorders>
              <w:top w:val="dotted" w:sz="4" w:space="0" w:color="000000"/>
              <w:left w:val="nil"/>
              <w:bottom w:val="dotted" w:sz="4" w:space="0" w:color="000000"/>
              <w:right w:val="nil"/>
            </w:tcBorders>
            <w:vAlign w:val="center"/>
          </w:tcPr>
          <w:p w14:paraId="000001B0" w14:textId="77777777" w:rsidR="00B64B7D" w:rsidRDefault="00742C7F">
            <w:pPr>
              <w:rPr>
                <w:rFonts w:ascii="Times New Roman" w:eastAsia="Times New Roman" w:hAnsi="Times New Roman" w:cs="Times New Roman"/>
                <w:sz w:val="20"/>
                <w:szCs w:val="20"/>
              </w:rPr>
            </w:pPr>
            <w:r>
              <w:rPr>
                <w:rFonts w:ascii="Times New Roman" w:eastAsia="Times New Roman" w:hAnsi="Times New Roman" w:cs="Times New Roman"/>
                <w:sz w:val="20"/>
                <w:szCs w:val="20"/>
              </w:rPr>
              <w:t>Áno</w:t>
            </w:r>
          </w:p>
        </w:tc>
        <w:tc>
          <w:tcPr>
            <w:tcW w:w="538" w:type="dxa"/>
            <w:gridSpan w:val="2"/>
            <w:tcBorders>
              <w:top w:val="dotted" w:sz="4" w:space="0" w:color="000000"/>
              <w:left w:val="nil"/>
              <w:bottom w:val="dotted" w:sz="4" w:space="0" w:color="000000"/>
              <w:right w:val="nil"/>
            </w:tcBorders>
            <w:vAlign w:val="center"/>
          </w:tcPr>
          <w:p w14:paraId="000001B2" w14:textId="77777777" w:rsidR="00B64B7D" w:rsidRDefault="00742C7F">
            <w:pPr>
              <w:jc w:val="center"/>
              <w:rPr>
                <w:rFonts w:ascii="Times New Roman" w:eastAsia="Times New Roman" w:hAnsi="Times New Roman" w:cs="Times New Roman"/>
                <w:sz w:val="20"/>
                <w:szCs w:val="20"/>
              </w:rPr>
            </w:pPr>
            <w:r>
              <w:rPr>
                <w:rFonts w:ascii="MS Gothic" w:eastAsia="MS Gothic" w:hAnsi="MS Gothic" w:cs="MS Gothic"/>
                <w:sz w:val="20"/>
                <w:szCs w:val="20"/>
              </w:rPr>
              <w:t>☐</w:t>
            </w:r>
          </w:p>
        </w:tc>
        <w:tc>
          <w:tcPr>
            <w:tcW w:w="1133" w:type="dxa"/>
            <w:tcBorders>
              <w:top w:val="dotted" w:sz="4" w:space="0" w:color="000000"/>
              <w:left w:val="nil"/>
              <w:bottom w:val="dotted" w:sz="4" w:space="0" w:color="000000"/>
              <w:right w:val="nil"/>
            </w:tcBorders>
            <w:vAlign w:val="center"/>
          </w:tcPr>
          <w:p w14:paraId="000001B4" w14:textId="77777777" w:rsidR="00B64B7D" w:rsidRDefault="00742C7F">
            <w:pPr>
              <w:rPr>
                <w:rFonts w:ascii="Times New Roman" w:eastAsia="Times New Roman" w:hAnsi="Times New Roman" w:cs="Times New Roman"/>
                <w:sz w:val="20"/>
                <w:szCs w:val="20"/>
              </w:rPr>
            </w:pPr>
            <w:r>
              <w:rPr>
                <w:rFonts w:ascii="Times New Roman" w:eastAsia="Times New Roman" w:hAnsi="Times New Roman" w:cs="Times New Roman"/>
                <w:sz w:val="20"/>
                <w:szCs w:val="20"/>
              </w:rPr>
              <w:t>Nie</w:t>
            </w:r>
          </w:p>
        </w:tc>
        <w:tc>
          <w:tcPr>
            <w:tcW w:w="547" w:type="dxa"/>
            <w:gridSpan w:val="2"/>
            <w:tcBorders>
              <w:top w:val="dotted" w:sz="4" w:space="0" w:color="000000"/>
              <w:left w:val="nil"/>
              <w:bottom w:val="dotted" w:sz="4" w:space="0" w:color="000000"/>
              <w:right w:val="nil"/>
            </w:tcBorders>
            <w:vAlign w:val="center"/>
          </w:tcPr>
          <w:p w14:paraId="000001B5" w14:textId="066D91D0" w:rsidR="00B64B7D" w:rsidRDefault="00000000">
            <w:pPr>
              <w:jc w:val="center"/>
              <w:rPr>
                <w:rFonts w:ascii="Times New Roman" w:eastAsia="Times New Roman" w:hAnsi="Times New Roman" w:cs="Times New Roman"/>
                <w:sz w:val="20"/>
                <w:szCs w:val="20"/>
              </w:rPr>
            </w:pPr>
            <w:sdt>
              <w:sdtPr>
                <w:tag w:val="goog_rdk_31"/>
                <w:id w:val="829540741"/>
              </w:sdtPr>
              <w:sdtContent/>
            </w:sdt>
            <w:r w:rsidR="00CE21A1">
              <w:rPr>
                <w:rFonts w:ascii="MS Gothic" w:eastAsia="MS Gothic" w:hAnsi="MS Gothic" w:cs="MS Gothic"/>
                <w:sz w:val="20"/>
                <w:szCs w:val="20"/>
              </w:rPr>
              <w:t>☐</w:t>
            </w:r>
          </w:p>
        </w:tc>
        <w:tc>
          <w:tcPr>
            <w:tcW w:w="1297" w:type="dxa"/>
            <w:tcBorders>
              <w:top w:val="dotted" w:sz="4" w:space="0" w:color="000000"/>
              <w:left w:val="nil"/>
              <w:bottom w:val="dotted" w:sz="4" w:space="0" w:color="000000"/>
              <w:right w:val="single" w:sz="4" w:space="0" w:color="000000"/>
            </w:tcBorders>
            <w:vAlign w:val="center"/>
          </w:tcPr>
          <w:p w14:paraId="000001B7" w14:textId="77777777" w:rsidR="00B64B7D" w:rsidRDefault="00000000">
            <w:pPr>
              <w:ind w:left="34"/>
              <w:rPr>
                <w:rFonts w:ascii="Times New Roman" w:eastAsia="Times New Roman" w:hAnsi="Times New Roman" w:cs="Times New Roman"/>
                <w:sz w:val="20"/>
                <w:szCs w:val="20"/>
              </w:rPr>
            </w:pPr>
            <w:sdt>
              <w:sdtPr>
                <w:tag w:val="goog_rdk_32"/>
                <w:id w:val="-705148455"/>
              </w:sdtPr>
              <w:sdtContent/>
            </w:sdt>
            <w:r w:rsidR="00742C7F">
              <w:rPr>
                <w:rFonts w:ascii="Times New Roman" w:eastAsia="Times New Roman" w:hAnsi="Times New Roman" w:cs="Times New Roman"/>
                <w:sz w:val="20"/>
                <w:szCs w:val="20"/>
              </w:rPr>
              <w:t>Čiastočne</w:t>
            </w:r>
          </w:p>
        </w:tc>
      </w:tr>
      <w:tr w:rsidR="00B64B7D" w14:paraId="333DAAD8" w14:textId="77777777">
        <w:tc>
          <w:tcPr>
            <w:tcW w:w="3812" w:type="dxa"/>
            <w:tcBorders>
              <w:top w:val="nil"/>
              <w:left w:val="single" w:sz="4" w:space="0" w:color="000000"/>
              <w:bottom w:val="nil"/>
              <w:right w:val="single" w:sz="4" w:space="0" w:color="000000"/>
            </w:tcBorders>
          </w:tcPr>
          <w:p w14:paraId="000001B8" w14:textId="77777777" w:rsidR="00B64B7D" w:rsidRDefault="00742C7F">
            <w:pPr>
              <w:rPr>
                <w:rFonts w:ascii="Times New Roman" w:eastAsia="Times New Roman" w:hAnsi="Times New Roman" w:cs="Times New Roman"/>
                <w:b/>
                <w:sz w:val="20"/>
                <w:szCs w:val="20"/>
              </w:rPr>
            </w:pPr>
            <w:r>
              <w:rPr>
                <w:rFonts w:ascii="Times New Roman" w:eastAsia="Times New Roman" w:hAnsi="Times New Roman" w:cs="Times New Roman"/>
                <w:b/>
                <w:sz w:val="20"/>
                <w:szCs w:val="20"/>
              </w:rPr>
              <w:t>v tom vplyvy na rozpočty obcí a vyšších územných celkov</w:t>
            </w:r>
          </w:p>
        </w:tc>
        <w:tc>
          <w:tcPr>
            <w:tcW w:w="541" w:type="dxa"/>
            <w:gridSpan w:val="2"/>
            <w:tcBorders>
              <w:top w:val="dotted" w:sz="4" w:space="0" w:color="000000"/>
              <w:left w:val="single" w:sz="4" w:space="0" w:color="000000"/>
              <w:bottom w:val="dotted" w:sz="4" w:space="0" w:color="000000"/>
              <w:right w:val="nil"/>
            </w:tcBorders>
          </w:tcPr>
          <w:p w14:paraId="000001B9" w14:textId="77777777" w:rsidR="00B64B7D" w:rsidRDefault="00742C7F">
            <w:pPr>
              <w:jc w:val="center"/>
              <w:rPr>
                <w:rFonts w:ascii="Times New Roman" w:eastAsia="Times New Roman" w:hAnsi="Times New Roman" w:cs="Times New Roman"/>
                <w:b/>
                <w:sz w:val="20"/>
                <w:szCs w:val="20"/>
              </w:rPr>
            </w:pPr>
            <w:r>
              <w:rPr>
                <w:rFonts w:ascii="MS Gothic" w:eastAsia="MS Gothic" w:hAnsi="MS Gothic" w:cs="MS Gothic"/>
                <w:b/>
                <w:sz w:val="20"/>
                <w:szCs w:val="20"/>
              </w:rPr>
              <w:t>☐</w:t>
            </w:r>
          </w:p>
        </w:tc>
        <w:tc>
          <w:tcPr>
            <w:tcW w:w="1312" w:type="dxa"/>
            <w:gridSpan w:val="2"/>
            <w:tcBorders>
              <w:top w:val="dotted" w:sz="4" w:space="0" w:color="000000"/>
              <w:left w:val="nil"/>
              <w:bottom w:val="dotted" w:sz="4" w:space="0" w:color="000000"/>
              <w:right w:val="nil"/>
            </w:tcBorders>
          </w:tcPr>
          <w:p w14:paraId="000001BB" w14:textId="77777777" w:rsidR="00B64B7D" w:rsidRDefault="00742C7F">
            <w:pPr>
              <w:rPr>
                <w:rFonts w:ascii="Times New Roman" w:eastAsia="Times New Roman" w:hAnsi="Times New Roman" w:cs="Times New Roman"/>
                <w:b/>
                <w:sz w:val="20"/>
                <w:szCs w:val="20"/>
              </w:rPr>
            </w:pPr>
            <w:r>
              <w:rPr>
                <w:rFonts w:ascii="Times New Roman" w:eastAsia="Times New Roman" w:hAnsi="Times New Roman" w:cs="Times New Roman"/>
                <w:b/>
                <w:sz w:val="20"/>
                <w:szCs w:val="20"/>
              </w:rPr>
              <w:t>Pozitívne</w:t>
            </w:r>
          </w:p>
        </w:tc>
        <w:tc>
          <w:tcPr>
            <w:tcW w:w="538" w:type="dxa"/>
            <w:gridSpan w:val="2"/>
            <w:tcBorders>
              <w:top w:val="dotted" w:sz="4" w:space="0" w:color="000000"/>
              <w:left w:val="nil"/>
              <w:bottom w:val="dotted" w:sz="4" w:space="0" w:color="000000"/>
              <w:right w:val="nil"/>
            </w:tcBorders>
          </w:tcPr>
          <w:p w14:paraId="000001BD" w14:textId="77777777" w:rsidR="00B64B7D" w:rsidRDefault="00742C7F">
            <w:pPr>
              <w:jc w:val="center"/>
              <w:rPr>
                <w:rFonts w:ascii="Times New Roman" w:eastAsia="Times New Roman" w:hAnsi="Times New Roman" w:cs="Times New Roman"/>
                <w:b/>
                <w:sz w:val="20"/>
                <w:szCs w:val="20"/>
              </w:rPr>
            </w:pPr>
            <w:r>
              <w:rPr>
                <w:rFonts w:ascii="MS Gothic" w:eastAsia="MS Gothic" w:hAnsi="MS Gothic" w:cs="MS Gothic"/>
                <w:b/>
                <w:sz w:val="20"/>
                <w:szCs w:val="20"/>
              </w:rPr>
              <w:t>☒</w:t>
            </w:r>
          </w:p>
        </w:tc>
        <w:tc>
          <w:tcPr>
            <w:tcW w:w="1133" w:type="dxa"/>
            <w:tcBorders>
              <w:top w:val="dotted" w:sz="4" w:space="0" w:color="000000"/>
              <w:left w:val="nil"/>
              <w:bottom w:val="dotted" w:sz="4" w:space="0" w:color="000000"/>
              <w:right w:val="nil"/>
            </w:tcBorders>
          </w:tcPr>
          <w:p w14:paraId="000001BF" w14:textId="77777777" w:rsidR="00B64B7D" w:rsidRDefault="00742C7F">
            <w:pPr>
              <w:rPr>
                <w:rFonts w:ascii="Times New Roman" w:eastAsia="Times New Roman" w:hAnsi="Times New Roman" w:cs="Times New Roman"/>
                <w:b/>
                <w:sz w:val="20"/>
                <w:szCs w:val="20"/>
              </w:rPr>
            </w:pPr>
            <w:r>
              <w:rPr>
                <w:rFonts w:ascii="Times New Roman" w:eastAsia="Times New Roman" w:hAnsi="Times New Roman" w:cs="Times New Roman"/>
                <w:b/>
                <w:sz w:val="20"/>
                <w:szCs w:val="20"/>
              </w:rPr>
              <w:t>Žiadne</w:t>
            </w:r>
          </w:p>
        </w:tc>
        <w:tc>
          <w:tcPr>
            <w:tcW w:w="547" w:type="dxa"/>
            <w:gridSpan w:val="2"/>
            <w:tcBorders>
              <w:top w:val="dotted" w:sz="4" w:space="0" w:color="000000"/>
              <w:left w:val="nil"/>
              <w:bottom w:val="dotted" w:sz="4" w:space="0" w:color="000000"/>
              <w:right w:val="nil"/>
            </w:tcBorders>
          </w:tcPr>
          <w:p w14:paraId="000001C0" w14:textId="77777777" w:rsidR="00B64B7D" w:rsidRDefault="00742C7F">
            <w:pPr>
              <w:ind w:left="-107" w:right="-108"/>
              <w:jc w:val="center"/>
              <w:rPr>
                <w:rFonts w:ascii="Times New Roman" w:eastAsia="Times New Roman" w:hAnsi="Times New Roman" w:cs="Times New Roman"/>
                <w:b/>
                <w:sz w:val="20"/>
                <w:szCs w:val="20"/>
              </w:rPr>
            </w:pPr>
            <w:r>
              <w:rPr>
                <w:rFonts w:ascii="MS Gothic" w:eastAsia="MS Gothic" w:hAnsi="MS Gothic" w:cs="MS Gothic"/>
                <w:b/>
                <w:sz w:val="20"/>
                <w:szCs w:val="20"/>
              </w:rPr>
              <w:t>☐</w:t>
            </w:r>
          </w:p>
        </w:tc>
        <w:tc>
          <w:tcPr>
            <w:tcW w:w="1297" w:type="dxa"/>
            <w:tcBorders>
              <w:top w:val="dotted" w:sz="4" w:space="0" w:color="000000"/>
              <w:left w:val="nil"/>
              <w:bottom w:val="dotted" w:sz="4" w:space="0" w:color="000000"/>
              <w:right w:val="single" w:sz="4" w:space="0" w:color="000000"/>
            </w:tcBorders>
          </w:tcPr>
          <w:p w14:paraId="000001C2" w14:textId="77777777" w:rsidR="00B64B7D" w:rsidRDefault="00742C7F">
            <w:pPr>
              <w:ind w:left="34"/>
              <w:rPr>
                <w:rFonts w:ascii="Times New Roman" w:eastAsia="Times New Roman" w:hAnsi="Times New Roman" w:cs="Times New Roman"/>
                <w:b/>
                <w:sz w:val="20"/>
                <w:szCs w:val="20"/>
              </w:rPr>
            </w:pPr>
            <w:r>
              <w:rPr>
                <w:rFonts w:ascii="Times New Roman" w:eastAsia="Times New Roman" w:hAnsi="Times New Roman" w:cs="Times New Roman"/>
                <w:b/>
                <w:sz w:val="20"/>
                <w:szCs w:val="20"/>
              </w:rPr>
              <w:t>Negatívne</w:t>
            </w:r>
          </w:p>
        </w:tc>
      </w:tr>
      <w:tr w:rsidR="00B64B7D" w14:paraId="5FCFE806" w14:textId="77777777">
        <w:tc>
          <w:tcPr>
            <w:tcW w:w="3812" w:type="dxa"/>
            <w:tcBorders>
              <w:top w:val="nil"/>
              <w:left w:val="single" w:sz="4" w:space="0" w:color="000000"/>
              <w:bottom w:val="single" w:sz="4" w:space="0" w:color="000000"/>
              <w:right w:val="single" w:sz="4" w:space="0" w:color="000000"/>
            </w:tcBorders>
          </w:tcPr>
          <w:p w14:paraId="000001C3" w14:textId="77777777" w:rsidR="00B64B7D" w:rsidRDefault="00742C7F">
            <w:pPr>
              <w:ind w:left="171"/>
              <w:rPr>
                <w:rFonts w:ascii="Times New Roman" w:eastAsia="Times New Roman" w:hAnsi="Times New Roman" w:cs="Times New Roman"/>
                <w:sz w:val="20"/>
                <w:szCs w:val="20"/>
              </w:rPr>
            </w:pPr>
            <w:r>
              <w:rPr>
                <w:rFonts w:ascii="Times New Roman" w:eastAsia="Times New Roman" w:hAnsi="Times New Roman" w:cs="Times New Roman"/>
                <w:sz w:val="20"/>
                <w:szCs w:val="20"/>
              </w:rPr>
              <w:t>z toho rozpočtovo zabezpečené vplyvy,</w:t>
            </w:r>
          </w:p>
          <w:p w14:paraId="000001C4" w14:textId="77777777" w:rsidR="00B64B7D" w:rsidRDefault="00742C7F">
            <w:pPr>
              <w:ind w:left="171"/>
              <w:rPr>
                <w:rFonts w:ascii="Times New Roman" w:eastAsia="Times New Roman" w:hAnsi="Times New Roman" w:cs="Times New Roman"/>
                <w:sz w:val="20"/>
                <w:szCs w:val="20"/>
              </w:rPr>
            </w:pPr>
            <w:r>
              <w:rPr>
                <w:rFonts w:ascii="Times New Roman" w:eastAsia="Times New Roman" w:hAnsi="Times New Roman" w:cs="Times New Roman"/>
                <w:sz w:val="20"/>
                <w:szCs w:val="20"/>
              </w:rPr>
              <w:t>v prípade identifikovaného negatívneho vplyvu</w:t>
            </w:r>
          </w:p>
        </w:tc>
        <w:tc>
          <w:tcPr>
            <w:tcW w:w="541" w:type="dxa"/>
            <w:gridSpan w:val="2"/>
            <w:tcBorders>
              <w:top w:val="dotted" w:sz="4" w:space="0" w:color="000000"/>
              <w:left w:val="single" w:sz="4" w:space="0" w:color="000000"/>
              <w:bottom w:val="single" w:sz="4" w:space="0" w:color="000000"/>
              <w:right w:val="nil"/>
            </w:tcBorders>
            <w:vAlign w:val="center"/>
          </w:tcPr>
          <w:p w14:paraId="000001C5" w14:textId="77777777" w:rsidR="00B64B7D" w:rsidRDefault="00742C7F">
            <w:pPr>
              <w:jc w:val="center"/>
              <w:rPr>
                <w:rFonts w:ascii="Times New Roman" w:eastAsia="Times New Roman" w:hAnsi="Times New Roman" w:cs="Times New Roman"/>
                <w:sz w:val="20"/>
                <w:szCs w:val="20"/>
              </w:rPr>
            </w:pPr>
            <w:r>
              <w:rPr>
                <w:rFonts w:ascii="MS Gothic" w:eastAsia="MS Gothic" w:hAnsi="MS Gothic" w:cs="MS Gothic"/>
                <w:sz w:val="20"/>
                <w:szCs w:val="20"/>
              </w:rPr>
              <w:t>☐</w:t>
            </w:r>
          </w:p>
        </w:tc>
        <w:tc>
          <w:tcPr>
            <w:tcW w:w="1312" w:type="dxa"/>
            <w:gridSpan w:val="2"/>
            <w:tcBorders>
              <w:top w:val="dotted" w:sz="4" w:space="0" w:color="000000"/>
              <w:left w:val="nil"/>
              <w:bottom w:val="single" w:sz="4" w:space="0" w:color="000000"/>
              <w:right w:val="nil"/>
            </w:tcBorders>
            <w:vAlign w:val="center"/>
          </w:tcPr>
          <w:p w14:paraId="000001C7" w14:textId="77777777" w:rsidR="00B64B7D" w:rsidRDefault="00742C7F">
            <w:pPr>
              <w:rPr>
                <w:rFonts w:ascii="Times New Roman" w:eastAsia="Times New Roman" w:hAnsi="Times New Roman" w:cs="Times New Roman"/>
                <w:sz w:val="20"/>
                <w:szCs w:val="20"/>
              </w:rPr>
            </w:pPr>
            <w:r>
              <w:rPr>
                <w:rFonts w:ascii="Times New Roman" w:eastAsia="Times New Roman" w:hAnsi="Times New Roman" w:cs="Times New Roman"/>
                <w:sz w:val="20"/>
                <w:szCs w:val="20"/>
              </w:rPr>
              <w:t>Áno</w:t>
            </w:r>
          </w:p>
        </w:tc>
        <w:tc>
          <w:tcPr>
            <w:tcW w:w="538" w:type="dxa"/>
            <w:gridSpan w:val="2"/>
            <w:tcBorders>
              <w:top w:val="dotted" w:sz="4" w:space="0" w:color="000000"/>
              <w:left w:val="nil"/>
              <w:bottom w:val="single" w:sz="4" w:space="0" w:color="000000"/>
              <w:right w:val="nil"/>
            </w:tcBorders>
            <w:vAlign w:val="center"/>
          </w:tcPr>
          <w:p w14:paraId="000001C9" w14:textId="77777777" w:rsidR="00B64B7D" w:rsidRDefault="00742C7F">
            <w:pPr>
              <w:jc w:val="center"/>
              <w:rPr>
                <w:rFonts w:ascii="Times New Roman" w:eastAsia="Times New Roman" w:hAnsi="Times New Roman" w:cs="Times New Roman"/>
                <w:sz w:val="20"/>
                <w:szCs w:val="20"/>
              </w:rPr>
            </w:pPr>
            <w:r>
              <w:rPr>
                <w:rFonts w:ascii="MS Gothic" w:eastAsia="MS Gothic" w:hAnsi="MS Gothic" w:cs="MS Gothic"/>
                <w:sz w:val="20"/>
                <w:szCs w:val="20"/>
              </w:rPr>
              <w:t>☐</w:t>
            </w:r>
          </w:p>
        </w:tc>
        <w:tc>
          <w:tcPr>
            <w:tcW w:w="1133" w:type="dxa"/>
            <w:tcBorders>
              <w:top w:val="dotted" w:sz="4" w:space="0" w:color="000000"/>
              <w:left w:val="nil"/>
              <w:bottom w:val="single" w:sz="4" w:space="0" w:color="000000"/>
              <w:right w:val="nil"/>
            </w:tcBorders>
            <w:vAlign w:val="center"/>
          </w:tcPr>
          <w:p w14:paraId="000001CB" w14:textId="77777777" w:rsidR="00B64B7D" w:rsidRDefault="00742C7F">
            <w:pPr>
              <w:rPr>
                <w:rFonts w:ascii="Times New Roman" w:eastAsia="Times New Roman" w:hAnsi="Times New Roman" w:cs="Times New Roman"/>
                <w:sz w:val="20"/>
                <w:szCs w:val="20"/>
              </w:rPr>
            </w:pPr>
            <w:r>
              <w:rPr>
                <w:rFonts w:ascii="Times New Roman" w:eastAsia="Times New Roman" w:hAnsi="Times New Roman" w:cs="Times New Roman"/>
                <w:sz w:val="20"/>
                <w:szCs w:val="20"/>
              </w:rPr>
              <w:t>Nie</w:t>
            </w:r>
          </w:p>
        </w:tc>
        <w:tc>
          <w:tcPr>
            <w:tcW w:w="547" w:type="dxa"/>
            <w:gridSpan w:val="2"/>
            <w:tcBorders>
              <w:top w:val="dotted" w:sz="4" w:space="0" w:color="000000"/>
              <w:left w:val="nil"/>
              <w:bottom w:val="single" w:sz="4" w:space="0" w:color="000000"/>
              <w:right w:val="nil"/>
            </w:tcBorders>
            <w:vAlign w:val="center"/>
          </w:tcPr>
          <w:p w14:paraId="000001CC" w14:textId="77777777" w:rsidR="00B64B7D" w:rsidRDefault="00742C7F">
            <w:pPr>
              <w:ind w:left="-107" w:right="-108"/>
              <w:jc w:val="center"/>
              <w:rPr>
                <w:rFonts w:ascii="Times New Roman" w:eastAsia="Times New Roman" w:hAnsi="Times New Roman" w:cs="Times New Roman"/>
                <w:sz w:val="20"/>
                <w:szCs w:val="20"/>
              </w:rPr>
            </w:pPr>
            <w:r>
              <w:rPr>
                <w:rFonts w:ascii="MS Gothic" w:eastAsia="MS Gothic" w:hAnsi="MS Gothic" w:cs="MS Gothic"/>
                <w:sz w:val="20"/>
                <w:szCs w:val="20"/>
              </w:rPr>
              <w:t>☐</w:t>
            </w:r>
          </w:p>
        </w:tc>
        <w:tc>
          <w:tcPr>
            <w:tcW w:w="1297" w:type="dxa"/>
            <w:tcBorders>
              <w:top w:val="dotted" w:sz="4" w:space="0" w:color="000000"/>
              <w:left w:val="nil"/>
              <w:bottom w:val="single" w:sz="4" w:space="0" w:color="000000"/>
              <w:right w:val="single" w:sz="4" w:space="0" w:color="000000"/>
            </w:tcBorders>
            <w:vAlign w:val="center"/>
          </w:tcPr>
          <w:p w14:paraId="000001CE" w14:textId="77777777" w:rsidR="00B64B7D" w:rsidRDefault="00742C7F">
            <w:pPr>
              <w:ind w:left="34"/>
              <w:rPr>
                <w:rFonts w:ascii="Times New Roman" w:eastAsia="Times New Roman" w:hAnsi="Times New Roman" w:cs="Times New Roman"/>
                <w:sz w:val="20"/>
                <w:szCs w:val="20"/>
              </w:rPr>
            </w:pPr>
            <w:r>
              <w:rPr>
                <w:rFonts w:ascii="Times New Roman" w:eastAsia="Times New Roman" w:hAnsi="Times New Roman" w:cs="Times New Roman"/>
                <w:sz w:val="20"/>
                <w:szCs w:val="20"/>
              </w:rPr>
              <w:t>Čiastočne</w:t>
            </w:r>
          </w:p>
        </w:tc>
      </w:tr>
      <w:tr w:rsidR="00B64B7D" w14:paraId="460519ED" w14:textId="77777777">
        <w:tc>
          <w:tcPr>
            <w:tcW w:w="3812" w:type="dxa"/>
            <w:tcBorders>
              <w:top w:val="single" w:sz="4" w:space="0" w:color="000000"/>
              <w:left w:val="single" w:sz="4" w:space="0" w:color="000000"/>
              <w:bottom w:val="single" w:sz="4" w:space="0" w:color="000000"/>
              <w:right w:val="single" w:sz="4" w:space="0" w:color="000000"/>
            </w:tcBorders>
          </w:tcPr>
          <w:p w14:paraId="000001CF" w14:textId="77777777" w:rsidR="00B64B7D" w:rsidRDefault="00742C7F">
            <w:pPr>
              <w:ind w:left="171"/>
              <w:rPr>
                <w:rFonts w:ascii="Times New Roman" w:eastAsia="Times New Roman" w:hAnsi="Times New Roman" w:cs="Times New Roman"/>
                <w:sz w:val="20"/>
                <w:szCs w:val="20"/>
              </w:rPr>
            </w:pPr>
            <w:r>
              <w:rPr>
                <w:rFonts w:ascii="Times New Roman" w:eastAsia="Times New Roman" w:hAnsi="Times New Roman" w:cs="Times New Roman"/>
                <w:sz w:val="20"/>
                <w:szCs w:val="20"/>
              </w:rPr>
              <w:t>Vplyv na dlhodobú udržateľnosť verejných financií v prípade vybraných opatrení ***</w:t>
            </w:r>
          </w:p>
        </w:tc>
        <w:tc>
          <w:tcPr>
            <w:tcW w:w="541" w:type="dxa"/>
            <w:gridSpan w:val="2"/>
            <w:tcBorders>
              <w:top w:val="single" w:sz="4" w:space="0" w:color="000000"/>
              <w:left w:val="single" w:sz="4" w:space="0" w:color="000000"/>
              <w:bottom w:val="single" w:sz="4" w:space="0" w:color="000000"/>
              <w:right w:val="nil"/>
            </w:tcBorders>
            <w:vAlign w:val="center"/>
          </w:tcPr>
          <w:p w14:paraId="000001D0" w14:textId="77777777" w:rsidR="00B64B7D" w:rsidRDefault="00742C7F">
            <w:pPr>
              <w:jc w:val="center"/>
              <w:rPr>
                <w:rFonts w:ascii="Times New Roman" w:eastAsia="Times New Roman" w:hAnsi="Times New Roman" w:cs="Times New Roman"/>
                <w:sz w:val="20"/>
                <w:szCs w:val="20"/>
              </w:rPr>
            </w:pPr>
            <w:r>
              <w:rPr>
                <w:rFonts w:ascii="MS Gothic" w:eastAsia="MS Gothic" w:hAnsi="MS Gothic" w:cs="MS Gothic"/>
                <w:sz w:val="20"/>
                <w:szCs w:val="20"/>
              </w:rPr>
              <w:t>☐</w:t>
            </w:r>
          </w:p>
        </w:tc>
        <w:tc>
          <w:tcPr>
            <w:tcW w:w="1312" w:type="dxa"/>
            <w:gridSpan w:val="2"/>
            <w:tcBorders>
              <w:top w:val="single" w:sz="4" w:space="0" w:color="000000"/>
              <w:left w:val="nil"/>
              <w:bottom w:val="single" w:sz="4" w:space="0" w:color="000000"/>
              <w:right w:val="nil"/>
            </w:tcBorders>
            <w:vAlign w:val="center"/>
          </w:tcPr>
          <w:p w14:paraId="000001D2" w14:textId="77777777" w:rsidR="00B64B7D" w:rsidRDefault="00742C7F">
            <w:pPr>
              <w:rPr>
                <w:rFonts w:ascii="Times New Roman" w:eastAsia="Times New Roman" w:hAnsi="Times New Roman" w:cs="Times New Roman"/>
                <w:sz w:val="20"/>
                <w:szCs w:val="20"/>
              </w:rPr>
            </w:pPr>
            <w:r>
              <w:rPr>
                <w:rFonts w:ascii="Times New Roman" w:eastAsia="Times New Roman" w:hAnsi="Times New Roman" w:cs="Times New Roman"/>
                <w:sz w:val="20"/>
                <w:szCs w:val="20"/>
              </w:rPr>
              <w:t>Áno</w:t>
            </w:r>
          </w:p>
        </w:tc>
        <w:tc>
          <w:tcPr>
            <w:tcW w:w="538" w:type="dxa"/>
            <w:gridSpan w:val="2"/>
            <w:tcBorders>
              <w:top w:val="single" w:sz="4" w:space="0" w:color="000000"/>
              <w:left w:val="nil"/>
              <w:bottom w:val="single" w:sz="4" w:space="0" w:color="000000"/>
              <w:right w:val="nil"/>
            </w:tcBorders>
            <w:vAlign w:val="center"/>
          </w:tcPr>
          <w:p w14:paraId="000001D4" w14:textId="77777777" w:rsidR="00B64B7D" w:rsidRDefault="00B64B7D">
            <w:pPr>
              <w:jc w:val="center"/>
              <w:rPr>
                <w:rFonts w:ascii="Times New Roman" w:eastAsia="Times New Roman" w:hAnsi="Times New Roman" w:cs="Times New Roman"/>
                <w:sz w:val="20"/>
                <w:szCs w:val="20"/>
              </w:rPr>
            </w:pPr>
          </w:p>
        </w:tc>
        <w:tc>
          <w:tcPr>
            <w:tcW w:w="1133" w:type="dxa"/>
            <w:tcBorders>
              <w:top w:val="single" w:sz="4" w:space="0" w:color="000000"/>
              <w:left w:val="nil"/>
              <w:bottom w:val="single" w:sz="4" w:space="0" w:color="000000"/>
              <w:right w:val="nil"/>
            </w:tcBorders>
            <w:vAlign w:val="center"/>
          </w:tcPr>
          <w:p w14:paraId="000001D6" w14:textId="77777777" w:rsidR="00B64B7D" w:rsidRDefault="00B64B7D">
            <w:pPr>
              <w:rPr>
                <w:rFonts w:ascii="Times New Roman" w:eastAsia="Times New Roman" w:hAnsi="Times New Roman" w:cs="Times New Roman"/>
                <w:sz w:val="20"/>
                <w:szCs w:val="20"/>
              </w:rPr>
            </w:pPr>
          </w:p>
        </w:tc>
        <w:tc>
          <w:tcPr>
            <w:tcW w:w="547" w:type="dxa"/>
            <w:gridSpan w:val="2"/>
            <w:tcBorders>
              <w:top w:val="single" w:sz="4" w:space="0" w:color="000000"/>
              <w:left w:val="nil"/>
              <w:bottom w:val="single" w:sz="4" w:space="0" w:color="000000"/>
              <w:right w:val="nil"/>
            </w:tcBorders>
            <w:vAlign w:val="center"/>
          </w:tcPr>
          <w:p w14:paraId="000001D7" w14:textId="77777777" w:rsidR="00B64B7D" w:rsidRDefault="00742C7F">
            <w:pPr>
              <w:ind w:left="-107" w:right="-108"/>
              <w:jc w:val="center"/>
              <w:rPr>
                <w:rFonts w:ascii="Times New Roman" w:eastAsia="Times New Roman" w:hAnsi="Times New Roman" w:cs="Times New Roman"/>
                <w:sz w:val="20"/>
                <w:szCs w:val="20"/>
              </w:rPr>
            </w:pPr>
            <w:r>
              <w:rPr>
                <w:rFonts w:ascii="MS Gothic" w:eastAsia="MS Gothic" w:hAnsi="MS Gothic" w:cs="MS Gothic"/>
                <w:sz w:val="20"/>
                <w:szCs w:val="20"/>
              </w:rPr>
              <w:t>☐</w:t>
            </w:r>
          </w:p>
        </w:tc>
        <w:tc>
          <w:tcPr>
            <w:tcW w:w="1297" w:type="dxa"/>
            <w:tcBorders>
              <w:top w:val="single" w:sz="4" w:space="0" w:color="000000"/>
              <w:left w:val="nil"/>
              <w:bottom w:val="single" w:sz="4" w:space="0" w:color="000000"/>
              <w:right w:val="single" w:sz="4" w:space="0" w:color="000000"/>
            </w:tcBorders>
            <w:vAlign w:val="center"/>
          </w:tcPr>
          <w:p w14:paraId="000001D9" w14:textId="77777777" w:rsidR="00B64B7D" w:rsidRDefault="00742C7F">
            <w:pPr>
              <w:ind w:left="34"/>
              <w:rPr>
                <w:rFonts w:ascii="Times New Roman" w:eastAsia="Times New Roman" w:hAnsi="Times New Roman" w:cs="Times New Roman"/>
                <w:sz w:val="20"/>
                <w:szCs w:val="20"/>
              </w:rPr>
            </w:pPr>
            <w:r>
              <w:rPr>
                <w:rFonts w:ascii="Times New Roman" w:eastAsia="Times New Roman" w:hAnsi="Times New Roman" w:cs="Times New Roman"/>
                <w:sz w:val="20"/>
                <w:szCs w:val="20"/>
              </w:rPr>
              <w:t>Nie</w:t>
            </w:r>
          </w:p>
        </w:tc>
      </w:tr>
      <w:tr w:rsidR="00B64B7D" w14:paraId="4CC07A94" w14:textId="77777777">
        <w:tc>
          <w:tcPr>
            <w:tcW w:w="3812" w:type="dxa"/>
            <w:tcBorders>
              <w:top w:val="single" w:sz="4" w:space="0" w:color="000000"/>
              <w:left w:val="single" w:sz="4" w:space="0" w:color="000000"/>
              <w:bottom w:val="single" w:sz="4" w:space="0" w:color="000000"/>
              <w:right w:val="single" w:sz="4" w:space="0" w:color="000000"/>
            </w:tcBorders>
          </w:tcPr>
          <w:p w14:paraId="000001DA" w14:textId="77777777" w:rsidR="00B64B7D" w:rsidRDefault="00742C7F">
            <w:pPr>
              <w:rPr>
                <w:rFonts w:ascii="Times New Roman" w:eastAsia="Times New Roman" w:hAnsi="Times New Roman" w:cs="Times New Roman"/>
                <w:b/>
                <w:sz w:val="20"/>
                <w:szCs w:val="20"/>
              </w:rPr>
            </w:pPr>
            <w:r>
              <w:rPr>
                <w:rFonts w:ascii="Times New Roman" w:eastAsia="Times New Roman" w:hAnsi="Times New Roman" w:cs="Times New Roman"/>
                <w:b/>
                <w:sz w:val="20"/>
                <w:szCs w:val="20"/>
              </w:rPr>
              <w:t>Vplyvy na limit verejných výdavkov</w:t>
            </w:r>
          </w:p>
        </w:tc>
        <w:tc>
          <w:tcPr>
            <w:tcW w:w="541" w:type="dxa"/>
            <w:gridSpan w:val="2"/>
            <w:tcBorders>
              <w:top w:val="single" w:sz="4" w:space="0" w:color="000000"/>
              <w:left w:val="single" w:sz="4" w:space="0" w:color="000000"/>
              <w:bottom w:val="single" w:sz="4" w:space="0" w:color="000000"/>
              <w:right w:val="nil"/>
            </w:tcBorders>
            <w:vAlign w:val="center"/>
          </w:tcPr>
          <w:p w14:paraId="000001DB" w14:textId="77777777" w:rsidR="00B64B7D" w:rsidRDefault="00742C7F">
            <w:pPr>
              <w:jc w:val="center"/>
              <w:rPr>
                <w:rFonts w:ascii="Times New Roman" w:eastAsia="Times New Roman" w:hAnsi="Times New Roman" w:cs="Times New Roman"/>
                <w:sz w:val="20"/>
                <w:szCs w:val="20"/>
              </w:rPr>
            </w:pPr>
            <w:r>
              <w:rPr>
                <w:rFonts w:ascii="MS Gothic" w:eastAsia="MS Gothic" w:hAnsi="MS Gothic" w:cs="MS Gothic"/>
                <w:b/>
                <w:sz w:val="20"/>
                <w:szCs w:val="20"/>
              </w:rPr>
              <w:t>☐</w:t>
            </w:r>
          </w:p>
        </w:tc>
        <w:tc>
          <w:tcPr>
            <w:tcW w:w="1312" w:type="dxa"/>
            <w:gridSpan w:val="2"/>
            <w:tcBorders>
              <w:top w:val="single" w:sz="4" w:space="0" w:color="000000"/>
              <w:left w:val="nil"/>
              <w:bottom w:val="single" w:sz="4" w:space="0" w:color="000000"/>
              <w:right w:val="nil"/>
            </w:tcBorders>
            <w:vAlign w:val="center"/>
          </w:tcPr>
          <w:p w14:paraId="000001DD" w14:textId="77777777" w:rsidR="00B64B7D" w:rsidRDefault="00742C7F">
            <w:pPr>
              <w:rPr>
                <w:rFonts w:ascii="Times New Roman" w:eastAsia="Times New Roman" w:hAnsi="Times New Roman" w:cs="Times New Roman"/>
                <w:sz w:val="20"/>
                <w:szCs w:val="20"/>
              </w:rPr>
            </w:pPr>
            <w:r>
              <w:rPr>
                <w:rFonts w:ascii="Times New Roman" w:eastAsia="Times New Roman" w:hAnsi="Times New Roman" w:cs="Times New Roman"/>
                <w:b/>
                <w:sz w:val="20"/>
                <w:szCs w:val="20"/>
              </w:rPr>
              <w:t>Pozitívne</w:t>
            </w:r>
          </w:p>
        </w:tc>
        <w:tc>
          <w:tcPr>
            <w:tcW w:w="538" w:type="dxa"/>
            <w:gridSpan w:val="2"/>
            <w:tcBorders>
              <w:top w:val="single" w:sz="4" w:space="0" w:color="000000"/>
              <w:left w:val="nil"/>
              <w:bottom w:val="single" w:sz="4" w:space="0" w:color="000000"/>
              <w:right w:val="nil"/>
            </w:tcBorders>
            <w:vAlign w:val="center"/>
          </w:tcPr>
          <w:p w14:paraId="000001DF" w14:textId="77777777" w:rsidR="00B64B7D" w:rsidRDefault="00742C7F">
            <w:pPr>
              <w:jc w:val="center"/>
              <w:rPr>
                <w:rFonts w:ascii="Times New Roman" w:eastAsia="Times New Roman" w:hAnsi="Times New Roman" w:cs="Times New Roman"/>
                <w:sz w:val="20"/>
                <w:szCs w:val="20"/>
              </w:rPr>
            </w:pPr>
            <w:r>
              <w:rPr>
                <w:rFonts w:ascii="MS Gothic" w:eastAsia="MS Gothic" w:hAnsi="MS Gothic" w:cs="MS Gothic"/>
                <w:b/>
                <w:sz w:val="20"/>
                <w:szCs w:val="20"/>
              </w:rPr>
              <w:t>☒</w:t>
            </w:r>
          </w:p>
        </w:tc>
        <w:tc>
          <w:tcPr>
            <w:tcW w:w="1133" w:type="dxa"/>
            <w:tcBorders>
              <w:top w:val="single" w:sz="4" w:space="0" w:color="000000"/>
              <w:left w:val="nil"/>
              <w:bottom w:val="single" w:sz="4" w:space="0" w:color="000000"/>
              <w:right w:val="nil"/>
            </w:tcBorders>
            <w:vAlign w:val="center"/>
          </w:tcPr>
          <w:p w14:paraId="000001E1" w14:textId="77777777" w:rsidR="00B64B7D" w:rsidRDefault="00742C7F">
            <w:pPr>
              <w:rPr>
                <w:rFonts w:ascii="Times New Roman" w:eastAsia="Times New Roman" w:hAnsi="Times New Roman" w:cs="Times New Roman"/>
                <w:sz w:val="20"/>
                <w:szCs w:val="20"/>
              </w:rPr>
            </w:pPr>
            <w:r>
              <w:rPr>
                <w:rFonts w:ascii="Times New Roman" w:eastAsia="Times New Roman" w:hAnsi="Times New Roman" w:cs="Times New Roman"/>
                <w:b/>
                <w:sz w:val="20"/>
                <w:szCs w:val="20"/>
              </w:rPr>
              <w:t>Žiadne</w:t>
            </w:r>
          </w:p>
        </w:tc>
        <w:tc>
          <w:tcPr>
            <w:tcW w:w="547" w:type="dxa"/>
            <w:gridSpan w:val="2"/>
            <w:tcBorders>
              <w:top w:val="single" w:sz="4" w:space="0" w:color="000000"/>
              <w:left w:val="nil"/>
              <w:bottom w:val="single" w:sz="4" w:space="0" w:color="000000"/>
              <w:right w:val="nil"/>
            </w:tcBorders>
            <w:vAlign w:val="center"/>
          </w:tcPr>
          <w:p w14:paraId="000001E2" w14:textId="77777777" w:rsidR="00B64B7D" w:rsidRDefault="00742C7F">
            <w:pPr>
              <w:ind w:left="-107" w:right="-108"/>
              <w:jc w:val="center"/>
              <w:rPr>
                <w:rFonts w:ascii="Times New Roman" w:eastAsia="Times New Roman" w:hAnsi="Times New Roman" w:cs="Times New Roman"/>
                <w:sz w:val="20"/>
                <w:szCs w:val="20"/>
              </w:rPr>
            </w:pPr>
            <w:r>
              <w:rPr>
                <w:rFonts w:ascii="MS Gothic" w:eastAsia="MS Gothic" w:hAnsi="MS Gothic" w:cs="MS Gothic"/>
                <w:b/>
                <w:sz w:val="20"/>
                <w:szCs w:val="20"/>
              </w:rPr>
              <w:t>☐</w:t>
            </w:r>
          </w:p>
        </w:tc>
        <w:tc>
          <w:tcPr>
            <w:tcW w:w="1297" w:type="dxa"/>
            <w:tcBorders>
              <w:top w:val="single" w:sz="4" w:space="0" w:color="000000"/>
              <w:left w:val="nil"/>
              <w:bottom w:val="single" w:sz="4" w:space="0" w:color="000000"/>
              <w:right w:val="single" w:sz="4" w:space="0" w:color="000000"/>
            </w:tcBorders>
            <w:vAlign w:val="center"/>
          </w:tcPr>
          <w:p w14:paraId="000001E4" w14:textId="77777777" w:rsidR="00B64B7D" w:rsidRDefault="00742C7F">
            <w:pPr>
              <w:ind w:left="34"/>
              <w:rPr>
                <w:rFonts w:ascii="Times New Roman" w:eastAsia="Times New Roman" w:hAnsi="Times New Roman" w:cs="Times New Roman"/>
                <w:sz w:val="20"/>
                <w:szCs w:val="20"/>
              </w:rPr>
            </w:pPr>
            <w:r>
              <w:rPr>
                <w:rFonts w:ascii="Times New Roman" w:eastAsia="Times New Roman" w:hAnsi="Times New Roman" w:cs="Times New Roman"/>
                <w:b/>
                <w:sz w:val="20"/>
                <w:szCs w:val="20"/>
              </w:rPr>
              <w:t>Negatívne</w:t>
            </w:r>
          </w:p>
        </w:tc>
      </w:tr>
      <w:tr w:rsidR="00B64B7D" w14:paraId="0F2B65AC" w14:textId="77777777">
        <w:tc>
          <w:tcPr>
            <w:tcW w:w="3812" w:type="dxa"/>
            <w:tcBorders>
              <w:top w:val="single" w:sz="4" w:space="0" w:color="000000"/>
              <w:left w:val="single" w:sz="4" w:space="0" w:color="000000"/>
              <w:bottom w:val="nil"/>
              <w:right w:val="single" w:sz="4" w:space="0" w:color="000000"/>
            </w:tcBorders>
            <w:shd w:val="clear" w:color="auto" w:fill="E2E2E2"/>
          </w:tcPr>
          <w:p w14:paraId="000001E5" w14:textId="77777777" w:rsidR="00B64B7D" w:rsidRDefault="00742C7F">
            <w:pPr>
              <w:rPr>
                <w:rFonts w:ascii="Times New Roman" w:eastAsia="Times New Roman" w:hAnsi="Times New Roman" w:cs="Times New Roman"/>
                <w:b/>
                <w:sz w:val="20"/>
                <w:szCs w:val="20"/>
              </w:rPr>
            </w:pPr>
            <w:r>
              <w:rPr>
                <w:rFonts w:ascii="Times New Roman" w:eastAsia="Times New Roman" w:hAnsi="Times New Roman" w:cs="Times New Roman"/>
                <w:b/>
                <w:sz w:val="20"/>
                <w:szCs w:val="20"/>
              </w:rPr>
              <w:t>Vplyvy na podnikateľské prostredie</w:t>
            </w:r>
          </w:p>
        </w:tc>
        <w:tc>
          <w:tcPr>
            <w:tcW w:w="541" w:type="dxa"/>
            <w:gridSpan w:val="2"/>
            <w:tcBorders>
              <w:top w:val="single" w:sz="4" w:space="0" w:color="000000"/>
              <w:left w:val="single" w:sz="4" w:space="0" w:color="000000"/>
              <w:bottom w:val="dotted" w:sz="4" w:space="0" w:color="000000"/>
              <w:right w:val="nil"/>
            </w:tcBorders>
            <w:vAlign w:val="center"/>
          </w:tcPr>
          <w:p w14:paraId="000001E6" w14:textId="77777777" w:rsidR="00B64B7D" w:rsidRDefault="00742C7F">
            <w:pPr>
              <w:jc w:val="center"/>
              <w:rPr>
                <w:rFonts w:ascii="Times New Roman" w:eastAsia="Times New Roman" w:hAnsi="Times New Roman" w:cs="Times New Roman"/>
                <w:b/>
                <w:sz w:val="20"/>
                <w:szCs w:val="20"/>
              </w:rPr>
            </w:pPr>
            <w:r>
              <w:rPr>
                <w:rFonts w:ascii="MS Gothic" w:eastAsia="MS Gothic" w:hAnsi="MS Gothic" w:cs="MS Gothic"/>
                <w:b/>
                <w:sz w:val="20"/>
                <w:szCs w:val="20"/>
              </w:rPr>
              <w:t>☒</w:t>
            </w:r>
          </w:p>
        </w:tc>
        <w:tc>
          <w:tcPr>
            <w:tcW w:w="1312" w:type="dxa"/>
            <w:gridSpan w:val="2"/>
            <w:tcBorders>
              <w:top w:val="single" w:sz="4" w:space="0" w:color="000000"/>
              <w:left w:val="nil"/>
              <w:bottom w:val="dotted" w:sz="4" w:space="0" w:color="000000"/>
              <w:right w:val="nil"/>
            </w:tcBorders>
            <w:vAlign w:val="center"/>
          </w:tcPr>
          <w:p w14:paraId="000001E8" w14:textId="77777777" w:rsidR="00B64B7D" w:rsidRDefault="00742C7F">
            <w:pPr>
              <w:ind w:right="-108"/>
              <w:rPr>
                <w:rFonts w:ascii="Times New Roman" w:eastAsia="Times New Roman" w:hAnsi="Times New Roman" w:cs="Times New Roman"/>
                <w:b/>
                <w:sz w:val="20"/>
                <w:szCs w:val="20"/>
              </w:rPr>
            </w:pPr>
            <w:r>
              <w:rPr>
                <w:rFonts w:ascii="Times New Roman" w:eastAsia="Times New Roman" w:hAnsi="Times New Roman" w:cs="Times New Roman"/>
                <w:b/>
                <w:sz w:val="20"/>
                <w:szCs w:val="20"/>
              </w:rPr>
              <w:t>Pozitívne</w:t>
            </w:r>
          </w:p>
        </w:tc>
        <w:tc>
          <w:tcPr>
            <w:tcW w:w="538" w:type="dxa"/>
            <w:gridSpan w:val="2"/>
            <w:tcBorders>
              <w:top w:val="single" w:sz="4" w:space="0" w:color="000000"/>
              <w:left w:val="nil"/>
              <w:bottom w:val="dotted" w:sz="4" w:space="0" w:color="000000"/>
              <w:right w:val="nil"/>
            </w:tcBorders>
            <w:vAlign w:val="center"/>
          </w:tcPr>
          <w:p w14:paraId="000001EA" w14:textId="77777777" w:rsidR="00B64B7D" w:rsidRDefault="00742C7F">
            <w:pPr>
              <w:jc w:val="center"/>
              <w:rPr>
                <w:rFonts w:ascii="Times New Roman" w:eastAsia="Times New Roman" w:hAnsi="Times New Roman" w:cs="Times New Roman"/>
                <w:b/>
                <w:sz w:val="20"/>
                <w:szCs w:val="20"/>
              </w:rPr>
            </w:pPr>
            <w:r>
              <w:rPr>
                <w:rFonts w:ascii="MS Gothic" w:eastAsia="MS Gothic" w:hAnsi="MS Gothic" w:cs="MS Gothic"/>
                <w:b/>
                <w:sz w:val="20"/>
                <w:szCs w:val="20"/>
              </w:rPr>
              <w:t>☐</w:t>
            </w:r>
          </w:p>
        </w:tc>
        <w:tc>
          <w:tcPr>
            <w:tcW w:w="1133" w:type="dxa"/>
            <w:tcBorders>
              <w:top w:val="single" w:sz="4" w:space="0" w:color="000000"/>
              <w:left w:val="nil"/>
              <w:bottom w:val="dotted" w:sz="4" w:space="0" w:color="000000"/>
              <w:right w:val="nil"/>
            </w:tcBorders>
            <w:vAlign w:val="center"/>
          </w:tcPr>
          <w:p w14:paraId="000001EC" w14:textId="77777777" w:rsidR="00B64B7D" w:rsidRDefault="00742C7F">
            <w:pPr>
              <w:rPr>
                <w:rFonts w:ascii="Times New Roman" w:eastAsia="Times New Roman" w:hAnsi="Times New Roman" w:cs="Times New Roman"/>
                <w:b/>
                <w:sz w:val="20"/>
                <w:szCs w:val="20"/>
              </w:rPr>
            </w:pPr>
            <w:r>
              <w:rPr>
                <w:rFonts w:ascii="Times New Roman" w:eastAsia="Times New Roman" w:hAnsi="Times New Roman" w:cs="Times New Roman"/>
                <w:b/>
                <w:sz w:val="20"/>
                <w:szCs w:val="20"/>
              </w:rPr>
              <w:t>Žiadne</w:t>
            </w:r>
          </w:p>
        </w:tc>
        <w:tc>
          <w:tcPr>
            <w:tcW w:w="547" w:type="dxa"/>
            <w:gridSpan w:val="2"/>
            <w:tcBorders>
              <w:top w:val="single" w:sz="4" w:space="0" w:color="000000"/>
              <w:left w:val="nil"/>
              <w:bottom w:val="dotted" w:sz="4" w:space="0" w:color="000000"/>
              <w:right w:val="nil"/>
            </w:tcBorders>
            <w:vAlign w:val="center"/>
          </w:tcPr>
          <w:p w14:paraId="000001ED" w14:textId="77777777" w:rsidR="00B64B7D" w:rsidRDefault="00742C7F">
            <w:pPr>
              <w:jc w:val="center"/>
              <w:rPr>
                <w:rFonts w:ascii="Times New Roman" w:eastAsia="Times New Roman" w:hAnsi="Times New Roman" w:cs="Times New Roman"/>
                <w:b/>
                <w:sz w:val="20"/>
                <w:szCs w:val="20"/>
              </w:rPr>
            </w:pPr>
            <w:r>
              <w:rPr>
                <w:rFonts w:ascii="MS Gothic" w:eastAsia="MS Gothic" w:hAnsi="MS Gothic" w:cs="MS Gothic"/>
                <w:b/>
                <w:sz w:val="20"/>
                <w:szCs w:val="20"/>
              </w:rPr>
              <w:t>☒</w:t>
            </w:r>
          </w:p>
        </w:tc>
        <w:tc>
          <w:tcPr>
            <w:tcW w:w="1297" w:type="dxa"/>
            <w:tcBorders>
              <w:top w:val="single" w:sz="4" w:space="0" w:color="000000"/>
              <w:left w:val="nil"/>
              <w:bottom w:val="dotted" w:sz="4" w:space="0" w:color="000000"/>
              <w:right w:val="single" w:sz="4" w:space="0" w:color="000000"/>
            </w:tcBorders>
            <w:vAlign w:val="center"/>
          </w:tcPr>
          <w:p w14:paraId="000001EF" w14:textId="77777777" w:rsidR="00B64B7D" w:rsidRDefault="00742C7F">
            <w:pPr>
              <w:ind w:left="54"/>
              <w:rPr>
                <w:rFonts w:ascii="Times New Roman" w:eastAsia="Times New Roman" w:hAnsi="Times New Roman" w:cs="Times New Roman"/>
                <w:b/>
                <w:sz w:val="20"/>
                <w:szCs w:val="20"/>
              </w:rPr>
            </w:pPr>
            <w:r>
              <w:rPr>
                <w:rFonts w:ascii="Times New Roman" w:eastAsia="Times New Roman" w:hAnsi="Times New Roman" w:cs="Times New Roman"/>
                <w:b/>
                <w:sz w:val="20"/>
                <w:szCs w:val="20"/>
              </w:rPr>
              <w:t>Negatívne</w:t>
            </w:r>
          </w:p>
        </w:tc>
      </w:tr>
      <w:tr w:rsidR="00B64B7D" w14:paraId="0EE82C2A" w14:textId="77777777">
        <w:tc>
          <w:tcPr>
            <w:tcW w:w="3812" w:type="dxa"/>
            <w:tcBorders>
              <w:top w:val="nil"/>
              <w:left w:val="single" w:sz="4" w:space="0" w:color="000000"/>
              <w:bottom w:val="nil"/>
              <w:right w:val="single" w:sz="4" w:space="0" w:color="000000"/>
            </w:tcBorders>
            <w:shd w:val="clear" w:color="auto" w:fill="E2E2E2"/>
          </w:tcPr>
          <w:p w14:paraId="000001F0" w14:textId="77777777" w:rsidR="00B64B7D" w:rsidRDefault="00742C7F">
            <w:pP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z toho vplyvy na MSP</w:t>
            </w:r>
          </w:p>
          <w:p w14:paraId="000001F1" w14:textId="77777777" w:rsidR="00B64B7D" w:rsidRDefault="00B64B7D">
            <w:pPr>
              <w:rPr>
                <w:rFonts w:ascii="Times New Roman" w:eastAsia="Times New Roman" w:hAnsi="Times New Roman" w:cs="Times New Roman"/>
                <w:sz w:val="20"/>
                <w:szCs w:val="20"/>
              </w:rPr>
            </w:pPr>
          </w:p>
        </w:tc>
        <w:tc>
          <w:tcPr>
            <w:tcW w:w="541" w:type="dxa"/>
            <w:gridSpan w:val="2"/>
            <w:tcBorders>
              <w:top w:val="dotted" w:sz="4" w:space="0" w:color="000000"/>
              <w:left w:val="single" w:sz="4" w:space="0" w:color="000000"/>
              <w:bottom w:val="dotted" w:sz="4" w:space="0" w:color="000000"/>
              <w:right w:val="nil"/>
            </w:tcBorders>
            <w:vAlign w:val="center"/>
          </w:tcPr>
          <w:p w14:paraId="000001F2" w14:textId="77777777" w:rsidR="00B64B7D" w:rsidRDefault="00742C7F">
            <w:pPr>
              <w:jc w:val="center"/>
              <w:rPr>
                <w:rFonts w:ascii="Times New Roman" w:eastAsia="Times New Roman" w:hAnsi="Times New Roman" w:cs="Times New Roman"/>
                <w:sz w:val="20"/>
                <w:szCs w:val="20"/>
              </w:rPr>
            </w:pPr>
            <w:r>
              <w:rPr>
                <w:rFonts w:ascii="MS Gothic" w:eastAsia="MS Gothic" w:hAnsi="MS Gothic" w:cs="MS Gothic"/>
                <w:sz w:val="20"/>
                <w:szCs w:val="20"/>
              </w:rPr>
              <w:t>☒</w:t>
            </w:r>
          </w:p>
        </w:tc>
        <w:tc>
          <w:tcPr>
            <w:tcW w:w="1312" w:type="dxa"/>
            <w:gridSpan w:val="2"/>
            <w:tcBorders>
              <w:top w:val="dotted" w:sz="4" w:space="0" w:color="000000"/>
              <w:left w:val="nil"/>
              <w:bottom w:val="dotted" w:sz="4" w:space="0" w:color="000000"/>
              <w:right w:val="nil"/>
            </w:tcBorders>
            <w:vAlign w:val="center"/>
          </w:tcPr>
          <w:p w14:paraId="000001F4" w14:textId="77777777" w:rsidR="00B64B7D" w:rsidRDefault="00742C7F">
            <w:pPr>
              <w:ind w:right="-108"/>
              <w:rPr>
                <w:rFonts w:ascii="Times New Roman" w:eastAsia="Times New Roman" w:hAnsi="Times New Roman" w:cs="Times New Roman"/>
                <w:sz w:val="20"/>
                <w:szCs w:val="20"/>
              </w:rPr>
            </w:pPr>
            <w:r>
              <w:rPr>
                <w:rFonts w:ascii="Times New Roman" w:eastAsia="Times New Roman" w:hAnsi="Times New Roman" w:cs="Times New Roman"/>
                <w:sz w:val="20"/>
                <w:szCs w:val="20"/>
              </w:rPr>
              <w:t>Pozitívne</w:t>
            </w:r>
          </w:p>
        </w:tc>
        <w:tc>
          <w:tcPr>
            <w:tcW w:w="538" w:type="dxa"/>
            <w:gridSpan w:val="2"/>
            <w:tcBorders>
              <w:top w:val="dotted" w:sz="4" w:space="0" w:color="000000"/>
              <w:left w:val="nil"/>
              <w:bottom w:val="dotted" w:sz="4" w:space="0" w:color="000000"/>
              <w:right w:val="nil"/>
            </w:tcBorders>
            <w:vAlign w:val="center"/>
          </w:tcPr>
          <w:p w14:paraId="000001F6" w14:textId="77777777" w:rsidR="00B64B7D" w:rsidRDefault="00742C7F">
            <w:pPr>
              <w:jc w:val="center"/>
              <w:rPr>
                <w:rFonts w:ascii="Times New Roman" w:eastAsia="Times New Roman" w:hAnsi="Times New Roman" w:cs="Times New Roman"/>
                <w:sz w:val="20"/>
                <w:szCs w:val="20"/>
              </w:rPr>
            </w:pPr>
            <w:r>
              <w:rPr>
                <w:rFonts w:ascii="MS Gothic" w:eastAsia="MS Gothic" w:hAnsi="MS Gothic" w:cs="MS Gothic"/>
                <w:sz w:val="20"/>
                <w:szCs w:val="20"/>
              </w:rPr>
              <w:t>☐</w:t>
            </w:r>
          </w:p>
        </w:tc>
        <w:tc>
          <w:tcPr>
            <w:tcW w:w="1133" w:type="dxa"/>
            <w:tcBorders>
              <w:top w:val="dotted" w:sz="4" w:space="0" w:color="000000"/>
              <w:left w:val="nil"/>
              <w:bottom w:val="dotted" w:sz="4" w:space="0" w:color="000000"/>
              <w:right w:val="nil"/>
            </w:tcBorders>
            <w:vAlign w:val="center"/>
          </w:tcPr>
          <w:p w14:paraId="000001F8" w14:textId="77777777" w:rsidR="00B64B7D" w:rsidRDefault="00742C7F">
            <w:pPr>
              <w:rPr>
                <w:rFonts w:ascii="Times New Roman" w:eastAsia="Times New Roman" w:hAnsi="Times New Roman" w:cs="Times New Roman"/>
                <w:sz w:val="20"/>
                <w:szCs w:val="20"/>
              </w:rPr>
            </w:pPr>
            <w:r>
              <w:rPr>
                <w:rFonts w:ascii="Times New Roman" w:eastAsia="Times New Roman" w:hAnsi="Times New Roman" w:cs="Times New Roman"/>
                <w:sz w:val="20"/>
                <w:szCs w:val="20"/>
              </w:rPr>
              <w:t>Žiadne</w:t>
            </w:r>
          </w:p>
        </w:tc>
        <w:tc>
          <w:tcPr>
            <w:tcW w:w="547" w:type="dxa"/>
            <w:gridSpan w:val="2"/>
            <w:tcBorders>
              <w:top w:val="dotted" w:sz="4" w:space="0" w:color="000000"/>
              <w:left w:val="nil"/>
              <w:bottom w:val="dotted" w:sz="4" w:space="0" w:color="000000"/>
              <w:right w:val="nil"/>
            </w:tcBorders>
            <w:vAlign w:val="center"/>
          </w:tcPr>
          <w:p w14:paraId="000001F9" w14:textId="77777777" w:rsidR="00B64B7D" w:rsidRDefault="00742C7F">
            <w:pPr>
              <w:jc w:val="center"/>
              <w:rPr>
                <w:rFonts w:ascii="Times New Roman" w:eastAsia="Times New Roman" w:hAnsi="Times New Roman" w:cs="Times New Roman"/>
                <w:sz w:val="20"/>
                <w:szCs w:val="20"/>
              </w:rPr>
            </w:pPr>
            <w:r>
              <w:rPr>
                <w:rFonts w:ascii="MS Gothic" w:eastAsia="MS Gothic" w:hAnsi="MS Gothic" w:cs="MS Gothic"/>
                <w:sz w:val="20"/>
                <w:szCs w:val="20"/>
              </w:rPr>
              <w:t>☒</w:t>
            </w:r>
          </w:p>
        </w:tc>
        <w:tc>
          <w:tcPr>
            <w:tcW w:w="1297" w:type="dxa"/>
            <w:tcBorders>
              <w:top w:val="dotted" w:sz="4" w:space="0" w:color="000000"/>
              <w:left w:val="nil"/>
              <w:bottom w:val="dotted" w:sz="4" w:space="0" w:color="000000"/>
              <w:right w:val="single" w:sz="4" w:space="0" w:color="000000"/>
            </w:tcBorders>
            <w:vAlign w:val="center"/>
          </w:tcPr>
          <w:p w14:paraId="000001FB" w14:textId="77777777" w:rsidR="00B64B7D" w:rsidRDefault="00742C7F">
            <w:pPr>
              <w:ind w:left="54"/>
              <w:rPr>
                <w:rFonts w:ascii="Times New Roman" w:eastAsia="Times New Roman" w:hAnsi="Times New Roman" w:cs="Times New Roman"/>
                <w:sz w:val="20"/>
                <w:szCs w:val="20"/>
              </w:rPr>
            </w:pPr>
            <w:r>
              <w:rPr>
                <w:rFonts w:ascii="Times New Roman" w:eastAsia="Times New Roman" w:hAnsi="Times New Roman" w:cs="Times New Roman"/>
                <w:sz w:val="20"/>
                <w:szCs w:val="20"/>
              </w:rPr>
              <w:t>Negatívne</w:t>
            </w:r>
          </w:p>
        </w:tc>
      </w:tr>
      <w:tr w:rsidR="00B64B7D" w14:paraId="7BF2EEF7" w14:textId="77777777">
        <w:tc>
          <w:tcPr>
            <w:tcW w:w="3812" w:type="dxa"/>
            <w:tcBorders>
              <w:top w:val="nil"/>
              <w:left w:val="single" w:sz="4" w:space="0" w:color="000000"/>
              <w:bottom w:val="single" w:sz="4" w:space="0" w:color="000000"/>
              <w:right w:val="single" w:sz="4" w:space="0" w:color="000000"/>
            </w:tcBorders>
            <w:shd w:val="clear" w:color="auto" w:fill="E2E2E2"/>
          </w:tcPr>
          <w:p w14:paraId="000001FC" w14:textId="77777777" w:rsidR="00B64B7D" w:rsidRDefault="00742C7F">
            <w:pP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Mechanizmus znižovania byrokracie    </w:t>
            </w:r>
          </w:p>
          <w:p w14:paraId="000001FD" w14:textId="77777777" w:rsidR="00B64B7D" w:rsidRDefault="00742C7F">
            <w:pPr>
              <w:rPr>
                <w:rFonts w:ascii="Times New Roman" w:eastAsia="Times New Roman" w:hAnsi="Times New Roman" w:cs="Times New Roman"/>
                <w:b/>
                <w:sz w:val="20"/>
                <w:szCs w:val="20"/>
              </w:rPr>
            </w:pPr>
            <w:r>
              <w:rPr>
                <w:rFonts w:ascii="Times New Roman" w:eastAsia="Times New Roman" w:hAnsi="Times New Roman" w:cs="Times New Roman"/>
                <w:sz w:val="20"/>
                <w:szCs w:val="20"/>
              </w:rPr>
              <w:t xml:space="preserve">    a nákladov sa uplatňuje:</w:t>
            </w:r>
          </w:p>
        </w:tc>
        <w:tc>
          <w:tcPr>
            <w:tcW w:w="541" w:type="dxa"/>
            <w:gridSpan w:val="2"/>
            <w:tcBorders>
              <w:top w:val="dotted" w:sz="4" w:space="0" w:color="000000"/>
              <w:left w:val="single" w:sz="4" w:space="0" w:color="000000"/>
              <w:bottom w:val="single" w:sz="4" w:space="0" w:color="000000"/>
              <w:right w:val="nil"/>
            </w:tcBorders>
            <w:vAlign w:val="center"/>
          </w:tcPr>
          <w:p w14:paraId="000001FE" w14:textId="77777777" w:rsidR="00B64B7D" w:rsidRDefault="00742C7F">
            <w:pPr>
              <w:jc w:val="center"/>
              <w:rPr>
                <w:rFonts w:ascii="Times New Roman" w:eastAsia="Times New Roman" w:hAnsi="Times New Roman" w:cs="Times New Roman"/>
                <w:b/>
                <w:sz w:val="20"/>
                <w:szCs w:val="20"/>
              </w:rPr>
            </w:pPr>
            <w:r>
              <w:rPr>
                <w:rFonts w:ascii="MS Gothic" w:eastAsia="MS Gothic" w:hAnsi="MS Gothic" w:cs="MS Gothic"/>
                <w:b/>
                <w:sz w:val="20"/>
                <w:szCs w:val="20"/>
              </w:rPr>
              <w:t>☒</w:t>
            </w:r>
          </w:p>
        </w:tc>
        <w:tc>
          <w:tcPr>
            <w:tcW w:w="1596" w:type="dxa"/>
            <w:gridSpan w:val="3"/>
            <w:tcBorders>
              <w:top w:val="dotted" w:sz="4" w:space="0" w:color="000000"/>
              <w:left w:val="nil"/>
              <w:bottom w:val="single" w:sz="4" w:space="0" w:color="000000"/>
              <w:right w:val="nil"/>
            </w:tcBorders>
            <w:vAlign w:val="center"/>
          </w:tcPr>
          <w:p w14:paraId="00000200" w14:textId="77777777" w:rsidR="00B64B7D" w:rsidRDefault="00742C7F">
            <w:pPr>
              <w:ind w:right="-108"/>
              <w:rPr>
                <w:rFonts w:ascii="Times New Roman" w:eastAsia="Times New Roman" w:hAnsi="Times New Roman" w:cs="Times New Roman"/>
                <w:b/>
                <w:sz w:val="20"/>
                <w:szCs w:val="20"/>
              </w:rPr>
            </w:pPr>
            <w:r>
              <w:rPr>
                <w:rFonts w:ascii="Times New Roman" w:eastAsia="Times New Roman" w:hAnsi="Times New Roman" w:cs="Times New Roman"/>
                <w:sz w:val="20"/>
                <w:szCs w:val="20"/>
              </w:rPr>
              <w:t>Áno</w:t>
            </w:r>
          </w:p>
        </w:tc>
        <w:tc>
          <w:tcPr>
            <w:tcW w:w="254" w:type="dxa"/>
            <w:tcBorders>
              <w:top w:val="dotted" w:sz="4" w:space="0" w:color="000000"/>
              <w:left w:val="nil"/>
              <w:bottom w:val="single" w:sz="4" w:space="0" w:color="000000"/>
              <w:right w:val="nil"/>
            </w:tcBorders>
            <w:vAlign w:val="center"/>
          </w:tcPr>
          <w:p w14:paraId="00000203" w14:textId="77777777" w:rsidR="00B64B7D" w:rsidRDefault="00B64B7D">
            <w:pPr>
              <w:jc w:val="center"/>
              <w:rPr>
                <w:rFonts w:ascii="Times New Roman" w:eastAsia="Times New Roman" w:hAnsi="Times New Roman" w:cs="Times New Roman"/>
                <w:b/>
                <w:sz w:val="20"/>
                <w:szCs w:val="20"/>
              </w:rPr>
            </w:pPr>
          </w:p>
        </w:tc>
        <w:tc>
          <w:tcPr>
            <w:tcW w:w="1133" w:type="dxa"/>
            <w:tcBorders>
              <w:top w:val="dotted" w:sz="4" w:space="0" w:color="000000"/>
              <w:left w:val="nil"/>
              <w:bottom w:val="single" w:sz="4" w:space="0" w:color="000000"/>
              <w:right w:val="nil"/>
            </w:tcBorders>
            <w:vAlign w:val="center"/>
          </w:tcPr>
          <w:p w14:paraId="00000204" w14:textId="77777777" w:rsidR="00B64B7D" w:rsidRDefault="00B64B7D">
            <w:pPr>
              <w:jc w:val="center"/>
              <w:rPr>
                <w:rFonts w:ascii="Times New Roman" w:eastAsia="Times New Roman" w:hAnsi="Times New Roman" w:cs="Times New Roman"/>
                <w:b/>
                <w:sz w:val="20"/>
                <w:szCs w:val="20"/>
              </w:rPr>
            </w:pPr>
          </w:p>
        </w:tc>
        <w:tc>
          <w:tcPr>
            <w:tcW w:w="547" w:type="dxa"/>
            <w:gridSpan w:val="2"/>
            <w:tcBorders>
              <w:top w:val="dotted" w:sz="4" w:space="0" w:color="000000"/>
              <w:left w:val="nil"/>
              <w:bottom w:val="single" w:sz="4" w:space="0" w:color="000000"/>
              <w:right w:val="nil"/>
            </w:tcBorders>
            <w:vAlign w:val="center"/>
          </w:tcPr>
          <w:p w14:paraId="00000205" w14:textId="77777777" w:rsidR="00B64B7D" w:rsidRDefault="00742C7F">
            <w:pPr>
              <w:jc w:val="center"/>
              <w:rPr>
                <w:rFonts w:ascii="Times New Roman" w:eastAsia="Times New Roman" w:hAnsi="Times New Roman" w:cs="Times New Roman"/>
                <w:b/>
                <w:sz w:val="20"/>
                <w:szCs w:val="20"/>
              </w:rPr>
            </w:pPr>
            <w:r>
              <w:rPr>
                <w:rFonts w:ascii="MS Gothic" w:eastAsia="MS Gothic" w:hAnsi="MS Gothic" w:cs="MS Gothic"/>
                <w:b/>
                <w:sz w:val="20"/>
                <w:szCs w:val="20"/>
              </w:rPr>
              <w:t>☐</w:t>
            </w:r>
          </w:p>
        </w:tc>
        <w:tc>
          <w:tcPr>
            <w:tcW w:w="1297" w:type="dxa"/>
            <w:tcBorders>
              <w:top w:val="dotted" w:sz="4" w:space="0" w:color="000000"/>
              <w:left w:val="nil"/>
              <w:bottom w:val="single" w:sz="4" w:space="0" w:color="000000"/>
              <w:right w:val="single" w:sz="4" w:space="0" w:color="000000"/>
            </w:tcBorders>
            <w:vAlign w:val="center"/>
          </w:tcPr>
          <w:p w14:paraId="00000207" w14:textId="77777777" w:rsidR="00B64B7D" w:rsidRDefault="00742C7F">
            <w:pPr>
              <w:ind w:left="54"/>
              <w:rPr>
                <w:rFonts w:ascii="Times New Roman" w:eastAsia="Times New Roman" w:hAnsi="Times New Roman" w:cs="Times New Roman"/>
                <w:b/>
                <w:sz w:val="20"/>
                <w:szCs w:val="20"/>
              </w:rPr>
            </w:pPr>
            <w:r>
              <w:rPr>
                <w:rFonts w:ascii="Times New Roman" w:eastAsia="Times New Roman" w:hAnsi="Times New Roman" w:cs="Times New Roman"/>
                <w:sz w:val="20"/>
                <w:szCs w:val="20"/>
              </w:rPr>
              <w:t>Nie</w:t>
            </w:r>
          </w:p>
        </w:tc>
      </w:tr>
      <w:tr w:rsidR="00B64B7D" w14:paraId="31C68446" w14:textId="77777777">
        <w:tc>
          <w:tcPr>
            <w:tcW w:w="3812" w:type="dxa"/>
            <w:tcBorders>
              <w:top w:val="single" w:sz="4" w:space="0" w:color="000000"/>
              <w:left w:val="single" w:sz="4" w:space="0" w:color="000000"/>
              <w:bottom w:val="single" w:sz="4" w:space="0" w:color="000000"/>
              <w:right w:val="single" w:sz="4" w:space="0" w:color="000000"/>
            </w:tcBorders>
            <w:shd w:val="clear" w:color="auto" w:fill="E2E2E2"/>
          </w:tcPr>
          <w:p w14:paraId="00000208" w14:textId="77777777" w:rsidR="00B64B7D" w:rsidRDefault="00742C7F">
            <w:pPr>
              <w:rPr>
                <w:rFonts w:ascii="Times New Roman" w:eastAsia="Times New Roman" w:hAnsi="Times New Roman" w:cs="Times New Roman"/>
                <w:b/>
                <w:sz w:val="20"/>
                <w:szCs w:val="20"/>
              </w:rPr>
            </w:pPr>
            <w:r>
              <w:rPr>
                <w:rFonts w:ascii="Times New Roman" w:eastAsia="Times New Roman" w:hAnsi="Times New Roman" w:cs="Times New Roman"/>
                <w:b/>
                <w:sz w:val="20"/>
                <w:szCs w:val="20"/>
              </w:rPr>
              <w:t>Sociálne vplyvy</w:t>
            </w:r>
          </w:p>
        </w:tc>
        <w:tc>
          <w:tcPr>
            <w:tcW w:w="541" w:type="dxa"/>
            <w:gridSpan w:val="2"/>
            <w:tcBorders>
              <w:top w:val="single" w:sz="4" w:space="0" w:color="000000"/>
              <w:left w:val="single" w:sz="4" w:space="0" w:color="000000"/>
              <w:bottom w:val="single" w:sz="4" w:space="0" w:color="000000"/>
              <w:right w:val="nil"/>
            </w:tcBorders>
          </w:tcPr>
          <w:p w14:paraId="00000209" w14:textId="77777777" w:rsidR="00B64B7D" w:rsidRDefault="00742C7F">
            <w:pPr>
              <w:jc w:val="center"/>
              <w:rPr>
                <w:rFonts w:ascii="Times New Roman" w:eastAsia="Times New Roman" w:hAnsi="Times New Roman" w:cs="Times New Roman"/>
                <w:b/>
                <w:sz w:val="20"/>
                <w:szCs w:val="20"/>
              </w:rPr>
            </w:pPr>
            <w:r>
              <w:rPr>
                <w:rFonts w:ascii="MS Gothic" w:eastAsia="MS Gothic" w:hAnsi="MS Gothic" w:cs="MS Gothic"/>
                <w:sz w:val="20"/>
                <w:szCs w:val="20"/>
              </w:rPr>
              <w:t>☒</w:t>
            </w:r>
          </w:p>
        </w:tc>
        <w:tc>
          <w:tcPr>
            <w:tcW w:w="1312" w:type="dxa"/>
            <w:gridSpan w:val="2"/>
            <w:tcBorders>
              <w:top w:val="single" w:sz="4" w:space="0" w:color="000000"/>
              <w:left w:val="nil"/>
              <w:bottom w:val="single" w:sz="4" w:space="0" w:color="000000"/>
              <w:right w:val="nil"/>
            </w:tcBorders>
          </w:tcPr>
          <w:p w14:paraId="0000020B" w14:textId="77777777" w:rsidR="00B64B7D" w:rsidRDefault="00742C7F">
            <w:pPr>
              <w:ind w:right="-108"/>
              <w:rPr>
                <w:rFonts w:ascii="Times New Roman" w:eastAsia="Times New Roman" w:hAnsi="Times New Roman" w:cs="Times New Roman"/>
                <w:b/>
                <w:sz w:val="20"/>
                <w:szCs w:val="20"/>
              </w:rPr>
            </w:pPr>
            <w:r>
              <w:rPr>
                <w:rFonts w:ascii="Times New Roman" w:eastAsia="Times New Roman" w:hAnsi="Times New Roman" w:cs="Times New Roman"/>
                <w:b/>
                <w:sz w:val="20"/>
                <w:szCs w:val="20"/>
              </w:rPr>
              <w:t>Pozitívne</w:t>
            </w:r>
          </w:p>
        </w:tc>
        <w:tc>
          <w:tcPr>
            <w:tcW w:w="538" w:type="dxa"/>
            <w:gridSpan w:val="2"/>
            <w:tcBorders>
              <w:top w:val="single" w:sz="4" w:space="0" w:color="000000"/>
              <w:left w:val="nil"/>
              <w:bottom w:val="single" w:sz="4" w:space="0" w:color="000000"/>
              <w:right w:val="nil"/>
            </w:tcBorders>
          </w:tcPr>
          <w:p w14:paraId="0000020D" w14:textId="77777777" w:rsidR="00B64B7D" w:rsidRDefault="00742C7F">
            <w:pPr>
              <w:jc w:val="center"/>
              <w:rPr>
                <w:rFonts w:ascii="Times New Roman" w:eastAsia="Times New Roman" w:hAnsi="Times New Roman" w:cs="Times New Roman"/>
                <w:b/>
                <w:sz w:val="20"/>
                <w:szCs w:val="20"/>
              </w:rPr>
            </w:pPr>
            <w:r>
              <w:rPr>
                <w:rFonts w:ascii="MS Gothic" w:eastAsia="MS Gothic" w:hAnsi="MS Gothic" w:cs="MS Gothic"/>
                <w:b/>
                <w:sz w:val="20"/>
                <w:szCs w:val="20"/>
              </w:rPr>
              <w:t>☐</w:t>
            </w:r>
          </w:p>
        </w:tc>
        <w:tc>
          <w:tcPr>
            <w:tcW w:w="1133" w:type="dxa"/>
            <w:tcBorders>
              <w:top w:val="single" w:sz="4" w:space="0" w:color="000000"/>
              <w:left w:val="nil"/>
              <w:bottom w:val="single" w:sz="4" w:space="0" w:color="000000"/>
              <w:right w:val="nil"/>
            </w:tcBorders>
          </w:tcPr>
          <w:p w14:paraId="0000020F" w14:textId="77777777" w:rsidR="00B64B7D" w:rsidRDefault="00742C7F">
            <w:pPr>
              <w:rPr>
                <w:rFonts w:ascii="Times New Roman" w:eastAsia="Times New Roman" w:hAnsi="Times New Roman" w:cs="Times New Roman"/>
                <w:b/>
                <w:sz w:val="20"/>
                <w:szCs w:val="20"/>
              </w:rPr>
            </w:pPr>
            <w:r>
              <w:rPr>
                <w:rFonts w:ascii="Times New Roman" w:eastAsia="Times New Roman" w:hAnsi="Times New Roman" w:cs="Times New Roman"/>
                <w:b/>
                <w:sz w:val="20"/>
                <w:szCs w:val="20"/>
              </w:rPr>
              <w:t>Žiadne</w:t>
            </w:r>
          </w:p>
        </w:tc>
        <w:tc>
          <w:tcPr>
            <w:tcW w:w="547" w:type="dxa"/>
            <w:gridSpan w:val="2"/>
            <w:tcBorders>
              <w:top w:val="single" w:sz="4" w:space="0" w:color="000000"/>
              <w:left w:val="nil"/>
              <w:bottom w:val="single" w:sz="4" w:space="0" w:color="000000"/>
              <w:right w:val="nil"/>
            </w:tcBorders>
          </w:tcPr>
          <w:p w14:paraId="00000210" w14:textId="77777777" w:rsidR="00B64B7D" w:rsidRDefault="00742C7F">
            <w:pPr>
              <w:jc w:val="center"/>
              <w:rPr>
                <w:rFonts w:ascii="Times New Roman" w:eastAsia="Times New Roman" w:hAnsi="Times New Roman" w:cs="Times New Roman"/>
                <w:b/>
                <w:sz w:val="20"/>
                <w:szCs w:val="20"/>
              </w:rPr>
            </w:pPr>
            <w:r>
              <w:rPr>
                <w:rFonts w:ascii="MS Gothic" w:eastAsia="MS Gothic" w:hAnsi="MS Gothic" w:cs="MS Gothic"/>
                <w:b/>
                <w:sz w:val="20"/>
                <w:szCs w:val="20"/>
              </w:rPr>
              <w:t>☒</w:t>
            </w:r>
          </w:p>
        </w:tc>
        <w:tc>
          <w:tcPr>
            <w:tcW w:w="1297" w:type="dxa"/>
            <w:tcBorders>
              <w:top w:val="single" w:sz="4" w:space="0" w:color="000000"/>
              <w:left w:val="nil"/>
              <w:bottom w:val="single" w:sz="4" w:space="0" w:color="000000"/>
              <w:right w:val="single" w:sz="4" w:space="0" w:color="000000"/>
            </w:tcBorders>
          </w:tcPr>
          <w:p w14:paraId="00000212" w14:textId="77777777" w:rsidR="00B64B7D" w:rsidRDefault="00742C7F">
            <w:pPr>
              <w:ind w:left="54"/>
              <w:rPr>
                <w:rFonts w:ascii="Times New Roman" w:eastAsia="Times New Roman" w:hAnsi="Times New Roman" w:cs="Times New Roman"/>
                <w:b/>
                <w:sz w:val="20"/>
                <w:szCs w:val="20"/>
              </w:rPr>
            </w:pPr>
            <w:r>
              <w:rPr>
                <w:rFonts w:ascii="Times New Roman" w:eastAsia="Times New Roman" w:hAnsi="Times New Roman" w:cs="Times New Roman"/>
                <w:b/>
                <w:sz w:val="20"/>
                <w:szCs w:val="20"/>
              </w:rPr>
              <w:t>Negatívne</w:t>
            </w:r>
          </w:p>
        </w:tc>
      </w:tr>
      <w:tr w:rsidR="00B64B7D" w14:paraId="27CD45BA" w14:textId="77777777">
        <w:tc>
          <w:tcPr>
            <w:tcW w:w="3812" w:type="dxa"/>
            <w:tcBorders>
              <w:top w:val="single" w:sz="4" w:space="0" w:color="000000"/>
              <w:left w:val="single" w:sz="4" w:space="0" w:color="000000"/>
              <w:bottom w:val="nil"/>
              <w:right w:val="single" w:sz="4" w:space="0" w:color="000000"/>
            </w:tcBorders>
            <w:shd w:val="clear" w:color="auto" w:fill="E2E2E2"/>
          </w:tcPr>
          <w:p w14:paraId="00000213" w14:textId="77777777" w:rsidR="00B64B7D" w:rsidRDefault="00742C7F">
            <w:pPr>
              <w:rPr>
                <w:rFonts w:ascii="Times New Roman" w:eastAsia="Times New Roman" w:hAnsi="Times New Roman" w:cs="Times New Roman"/>
                <w:b/>
                <w:sz w:val="20"/>
                <w:szCs w:val="20"/>
              </w:rPr>
            </w:pPr>
            <w:r>
              <w:rPr>
                <w:rFonts w:ascii="Times New Roman" w:eastAsia="Times New Roman" w:hAnsi="Times New Roman" w:cs="Times New Roman"/>
                <w:b/>
                <w:sz w:val="20"/>
                <w:szCs w:val="20"/>
              </w:rPr>
              <w:t>Vplyvy na životné prostredie</w:t>
            </w:r>
          </w:p>
        </w:tc>
        <w:tc>
          <w:tcPr>
            <w:tcW w:w="541" w:type="dxa"/>
            <w:gridSpan w:val="2"/>
            <w:tcBorders>
              <w:top w:val="single" w:sz="4" w:space="0" w:color="000000"/>
              <w:left w:val="single" w:sz="4" w:space="0" w:color="000000"/>
              <w:bottom w:val="single" w:sz="4" w:space="0" w:color="000000"/>
              <w:right w:val="nil"/>
            </w:tcBorders>
          </w:tcPr>
          <w:p w14:paraId="00000214" w14:textId="77777777" w:rsidR="00B64B7D" w:rsidRDefault="00742C7F">
            <w:pPr>
              <w:jc w:val="center"/>
              <w:rPr>
                <w:rFonts w:ascii="Times New Roman" w:eastAsia="Times New Roman" w:hAnsi="Times New Roman" w:cs="Times New Roman"/>
                <w:b/>
                <w:sz w:val="20"/>
                <w:szCs w:val="20"/>
              </w:rPr>
            </w:pPr>
            <w:r>
              <w:rPr>
                <w:rFonts w:ascii="MS Gothic" w:eastAsia="MS Gothic" w:hAnsi="MS Gothic" w:cs="MS Gothic"/>
                <w:b/>
                <w:sz w:val="20"/>
                <w:szCs w:val="20"/>
              </w:rPr>
              <w:t>☐</w:t>
            </w:r>
          </w:p>
        </w:tc>
        <w:tc>
          <w:tcPr>
            <w:tcW w:w="1312" w:type="dxa"/>
            <w:gridSpan w:val="2"/>
            <w:tcBorders>
              <w:top w:val="single" w:sz="4" w:space="0" w:color="000000"/>
              <w:left w:val="nil"/>
              <w:bottom w:val="single" w:sz="4" w:space="0" w:color="000000"/>
              <w:right w:val="nil"/>
            </w:tcBorders>
          </w:tcPr>
          <w:p w14:paraId="00000216" w14:textId="77777777" w:rsidR="00B64B7D" w:rsidRDefault="00742C7F">
            <w:pPr>
              <w:ind w:right="-108"/>
              <w:rPr>
                <w:rFonts w:ascii="Times New Roman" w:eastAsia="Times New Roman" w:hAnsi="Times New Roman" w:cs="Times New Roman"/>
                <w:b/>
                <w:sz w:val="20"/>
                <w:szCs w:val="20"/>
              </w:rPr>
            </w:pPr>
            <w:r>
              <w:rPr>
                <w:rFonts w:ascii="Times New Roman" w:eastAsia="Times New Roman" w:hAnsi="Times New Roman" w:cs="Times New Roman"/>
                <w:b/>
                <w:sz w:val="20"/>
                <w:szCs w:val="20"/>
              </w:rPr>
              <w:t>Pozitívne</w:t>
            </w:r>
          </w:p>
        </w:tc>
        <w:tc>
          <w:tcPr>
            <w:tcW w:w="538" w:type="dxa"/>
            <w:gridSpan w:val="2"/>
            <w:tcBorders>
              <w:top w:val="single" w:sz="4" w:space="0" w:color="000000"/>
              <w:left w:val="nil"/>
              <w:bottom w:val="single" w:sz="4" w:space="0" w:color="000000"/>
              <w:right w:val="nil"/>
            </w:tcBorders>
          </w:tcPr>
          <w:p w14:paraId="00000218" w14:textId="77777777" w:rsidR="00B64B7D" w:rsidRDefault="00742C7F">
            <w:pPr>
              <w:jc w:val="center"/>
              <w:rPr>
                <w:rFonts w:ascii="Times New Roman" w:eastAsia="Times New Roman" w:hAnsi="Times New Roman" w:cs="Times New Roman"/>
                <w:b/>
                <w:sz w:val="20"/>
                <w:szCs w:val="20"/>
              </w:rPr>
            </w:pPr>
            <w:r>
              <w:rPr>
                <w:rFonts w:ascii="MS Gothic" w:eastAsia="MS Gothic" w:hAnsi="MS Gothic" w:cs="MS Gothic"/>
                <w:b/>
                <w:sz w:val="20"/>
                <w:szCs w:val="20"/>
              </w:rPr>
              <w:t>☒</w:t>
            </w:r>
          </w:p>
        </w:tc>
        <w:tc>
          <w:tcPr>
            <w:tcW w:w="1133" w:type="dxa"/>
            <w:tcBorders>
              <w:top w:val="single" w:sz="4" w:space="0" w:color="000000"/>
              <w:left w:val="nil"/>
              <w:bottom w:val="single" w:sz="4" w:space="0" w:color="000000"/>
              <w:right w:val="nil"/>
            </w:tcBorders>
          </w:tcPr>
          <w:p w14:paraId="0000021A" w14:textId="77777777" w:rsidR="00B64B7D" w:rsidRDefault="00742C7F">
            <w:pPr>
              <w:rPr>
                <w:rFonts w:ascii="Times New Roman" w:eastAsia="Times New Roman" w:hAnsi="Times New Roman" w:cs="Times New Roman"/>
                <w:b/>
                <w:sz w:val="20"/>
                <w:szCs w:val="20"/>
              </w:rPr>
            </w:pPr>
            <w:r>
              <w:rPr>
                <w:rFonts w:ascii="Times New Roman" w:eastAsia="Times New Roman" w:hAnsi="Times New Roman" w:cs="Times New Roman"/>
                <w:b/>
                <w:sz w:val="20"/>
                <w:szCs w:val="20"/>
              </w:rPr>
              <w:t>Žiadne</w:t>
            </w:r>
          </w:p>
        </w:tc>
        <w:tc>
          <w:tcPr>
            <w:tcW w:w="547" w:type="dxa"/>
            <w:gridSpan w:val="2"/>
            <w:tcBorders>
              <w:top w:val="single" w:sz="4" w:space="0" w:color="000000"/>
              <w:left w:val="nil"/>
              <w:bottom w:val="single" w:sz="4" w:space="0" w:color="000000"/>
              <w:right w:val="nil"/>
            </w:tcBorders>
          </w:tcPr>
          <w:p w14:paraId="0000021B" w14:textId="77777777" w:rsidR="00B64B7D" w:rsidRDefault="00742C7F">
            <w:pPr>
              <w:jc w:val="center"/>
              <w:rPr>
                <w:rFonts w:ascii="Times New Roman" w:eastAsia="Times New Roman" w:hAnsi="Times New Roman" w:cs="Times New Roman"/>
                <w:b/>
                <w:sz w:val="20"/>
                <w:szCs w:val="20"/>
              </w:rPr>
            </w:pPr>
            <w:r>
              <w:rPr>
                <w:rFonts w:ascii="MS Gothic" w:eastAsia="MS Gothic" w:hAnsi="MS Gothic" w:cs="MS Gothic"/>
                <w:b/>
                <w:sz w:val="20"/>
                <w:szCs w:val="20"/>
              </w:rPr>
              <w:t>☐</w:t>
            </w:r>
          </w:p>
        </w:tc>
        <w:tc>
          <w:tcPr>
            <w:tcW w:w="1297" w:type="dxa"/>
            <w:tcBorders>
              <w:top w:val="single" w:sz="4" w:space="0" w:color="000000"/>
              <w:left w:val="nil"/>
              <w:bottom w:val="single" w:sz="4" w:space="0" w:color="000000"/>
              <w:right w:val="single" w:sz="4" w:space="0" w:color="000000"/>
            </w:tcBorders>
          </w:tcPr>
          <w:p w14:paraId="0000021D" w14:textId="77777777" w:rsidR="00B64B7D" w:rsidRDefault="00742C7F">
            <w:pPr>
              <w:ind w:left="54"/>
              <w:rPr>
                <w:rFonts w:ascii="Times New Roman" w:eastAsia="Times New Roman" w:hAnsi="Times New Roman" w:cs="Times New Roman"/>
                <w:b/>
                <w:sz w:val="20"/>
                <w:szCs w:val="20"/>
              </w:rPr>
            </w:pPr>
            <w:r>
              <w:rPr>
                <w:rFonts w:ascii="Times New Roman" w:eastAsia="Times New Roman" w:hAnsi="Times New Roman" w:cs="Times New Roman"/>
                <w:b/>
                <w:sz w:val="20"/>
                <w:szCs w:val="20"/>
              </w:rPr>
              <w:t>Negatívne</w:t>
            </w:r>
          </w:p>
        </w:tc>
      </w:tr>
      <w:tr w:rsidR="00B64B7D" w14:paraId="08F8B150" w14:textId="77777777">
        <w:tc>
          <w:tcPr>
            <w:tcW w:w="3812" w:type="dxa"/>
            <w:tcBorders>
              <w:top w:val="nil"/>
              <w:left w:val="single" w:sz="4" w:space="0" w:color="000000"/>
              <w:bottom w:val="single" w:sz="4" w:space="0" w:color="000000"/>
              <w:right w:val="single" w:sz="4" w:space="0" w:color="000000"/>
            </w:tcBorders>
            <w:shd w:val="clear" w:color="auto" w:fill="E2E2E2"/>
          </w:tcPr>
          <w:p w14:paraId="0000021E" w14:textId="77777777" w:rsidR="00B64B7D" w:rsidRDefault="00B64B7D">
            <w:pPr>
              <w:rPr>
                <w:rFonts w:ascii="Times New Roman" w:eastAsia="Times New Roman" w:hAnsi="Times New Roman" w:cs="Times New Roman"/>
                <w:sz w:val="20"/>
                <w:szCs w:val="20"/>
              </w:rPr>
            </w:pPr>
          </w:p>
          <w:p w14:paraId="0000021F" w14:textId="77777777" w:rsidR="00B64B7D" w:rsidRDefault="00742C7F">
            <w:pPr>
              <w:ind w:left="164"/>
              <w:rPr>
                <w:rFonts w:ascii="Times New Roman" w:eastAsia="Times New Roman" w:hAnsi="Times New Roman" w:cs="Times New Roman"/>
                <w:b/>
                <w:sz w:val="20"/>
                <w:szCs w:val="20"/>
              </w:rPr>
            </w:pPr>
            <w:r>
              <w:rPr>
                <w:rFonts w:ascii="Times New Roman" w:eastAsia="Times New Roman" w:hAnsi="Times New Roman" w:cs="Times New Roman"/>
                <w:sz w:val="20"/>
                <w:szCs w:val="20"/>
              </w:rPr>
              <w:t>Materiál je posudzovaný podľa zákona č. 24/2006 Z. z. o posudzovaní vplyvov na životné prostredie a o zmene a doplnení niektorých zákonov v znení neskorších predpisov</w:t>
            </w:r>
          </w:p>
        </w:tc>
        <w:tc>
          <w:tcPr>
            <w:tcW w:w="541" w:type="dxa"/>
            <w:gridSpan w:val="2"/>
            <w:tcBorders>
              <w:top w:val="single" w:sz="4" w:space="0" w:color="000000"/>
              <w:left w:val="single" w:sz="4" w:space="0" w:color="000000"/>
              <w:bottom w:val="single" w:sz="4" w:space="0" w:color="000000"/>
              <w:right w:val="nil"/>
            </w:tcBorders>
            <w:vAlign w:val="center"/>
          </w:tcPr>
          <w:p w14:paraId="00000220" w14:textId="77777777" w:rsidR="00B64B7D" w:rsidRDefault="00742C7F">
            <w:pPr>
              <w:jc w:val="center"/>
              <w:rPr>
                <w:rFonts w:ascii="Times New Roman" w:eastAsia="Times New Roman" w:hAnsi="Times New Roman" w:cs="Times New Roman"/>
                <w:b/>
                <w:sz w:val="20"/>
                <w:szCs w:val="20"/>
              </w:rPr>
            </w:pPr>
            <w:r>
              <w:rPr>
                <w:rFonts w:ascii="MS Gothic" w:eastAsia="MS Gothic" w:hAnsi="MS Gothic" w:cs="MS Gothic"/>
                <w:b/>
                <w:sz w:val="20"/>
                <w:szCs w:val="20"/>
              </w:rPr>
              <w:t>☐</w:t>
            </w:r>
          </w:p>
        </w:tc>
        <w:tc>
          <w:tcPr>
            <w:tcW w:w="1312" w:type="dxa"/>
            <w:gridSpan w:val="2"/>
            <w:tcBorders>
              <w:top w:val="single" w:sz="4" w:space="0" w:color="000000"/>
              <w:left w:val="nil"/>
              <w:bottom w:val="single" w:sz="4" w:space="0" w:color="000000"/>
              <w:right w:val="nil"/>
            </w:tcBorders>
            <w:vAlign w:val="center"/>
          </w:tcPr>
          <w:p w14:paraId="00000222" w14:textId="77777777" w:rsidR="00B64B7D" w:rsidRDefault="00742C7F">
            <w:pPr>
              <w:ind w:right="-108"/>
              <w:rPr>
                <w:rFonts w:ascii="Times New Roman" w:eastAsia="Times New Roman" w:hAnsi="Times New Roman" w:cs="Times New Roman"/>
                <w:b/>
                <w:sz w:val="20"/>
                <w:szCs w:val="20"/>
              </w:rPr>
            </w:pPr>
            <w:r>
              <w:rPr>
                <w:rFonts w:ascii="Times New Roman" w:eastAsia="Times New Roman" w:hAnsi="Times New Roman" w:cs="Times New Roman"/>
                <w:sz w:val="20"/>
                <w:szCs w:val="20"/>
              </w:rPr>
              <w:t>Áno</w:t>
            </w:r>
          </w:p>
        </w:tc>
        <w:tc>
          <w:tcPr>
            <w:tcW w:w="538" w:type="dxa"/>
            <w:gridSpan w:val="2"/>
            <w:tcBorders>
              <w:top w:val="single" w:sz="4" w:space="0" w:color="000000"/>
              <w:left w:val="nil"/>
              <w:bottom w:val="single" w:sz="4" w:space="0" w:color="000000"/>
              <w:right w:val="nil"/>
            </w:tcBorders>
            <w:vAlign w:val="center"/>
          </w:tcPr>
          <w:p w14:paraId="00000224" w14:textId="77777777" w:rsidR="00B64B7D" w:rsidRDefault="00B64B7D">
            <w:pPr>
              <w:jc w:val="center"/>
              <w:rPr>
                <w:rFonts w:ascii="Times New Roman" w:eastAsia="Times New Roman" w:hAnsi="Times New Roman" w:cs="Times New Roman"/>
                <w:b/>
                <w:sz w:val="20"/>
                <w:szCs w:val="20"/>
              </w:rPr>
            </w:pPr>
          </w:p>
        </w:tc>
        <w:tc>
          <w:tcPr>
            <w:tcW w:w="1133" w:type="dxa"/>
            <w:tcBorders>
              <w:top w:val="single" w:sz="4" w:space="0" w:color="000000"/>
              <w:left w:val="nil"/>
              <w:bottom w:val="single" w:sz="4" w:space="0" w:color="000000"/>
              <w:right w:val="nil"/>
            </w:tcBorders>
            <w:vAlign w:val="center"/>
          </w:tcPr>
          <w:p w14:paraId="00000226" w14:textId="77777777" w:rsidR="00B64B7D" w:rsidRDefault="00B64B7D">
            <w:pPr>
              <w:jc w:val="center"/>
              <w:rPr>
                <w:rFonts w:ascii="Times New Roman" w:eastAsia="Times New Roman" w:hAnsi="Times New Roman" w:cs="Times New Roman"/>
                <w:b/>
                <w:sz w:val="20"/>
                <w:szCs w:val="20"/>
              </w:rPr>
            </w:pPr>
          </w:p>
        </w:tc>
        <w:tc>
          <w:tcPr>
            <w:tcW w:w="547" w:type="dxa"/>
            <w:gridSpan w:val="2"/>
            <w:tcBorders>
              <w:top w:val="single" w:sz="4" w:space="0" w:color="000000"/>
              <w:left w:val="nil"/>
              <w:bottom w:val="single" w:sz="4" w:space="0" w:color="000000"/>
              <w:right w:val="nil"/>
            </w:tcBorders>
            <w:vAlign w:val="center"/>
          </w:tcPr>
          <w:p w14:paraId="00000227" w14:textId="77777777" w:rsidR="00B64B7D" w:rsidRDefault="00742C7F">
            <w:pPr>
              <w:jc w:val="center"/>
              <w:rPr>
                <w:rFonts w:ascii="Times New Roman" w:eastAsia="Times New Roman" w:hAnsi="Times New Roman" w:cs="Times New Roman"/>
                <w:b/>
                <w:sz w:val="20"/>
                <w:szCs w:val="20"/>
              </w:rPr>
            </w:pPr>
            <w:r>
              <w:rPr>
                <w:rFonts w:ascii="MS Gothic" w:eastAsia="MS Gothic" w:hAnsi="MS Gothic" w:cs="MS Gothic"/>
                <w:b/>
                <w:sz w:val="20"/>
                <w:szCs w:val="20"/>
              </w:rPr>
              <w:t>☐</w:t>
            </w:r>
          </w:p>
        </w:tc>
        <w:tc>
          <w:tcPr>
            <w:tcW w:w="1297" w:type="dxa"/>
            <w:tcBorders>
              <w:top w:val="single" w:sz="4" w:space="0" w:color="000000"/>
              <w:left w:val="nil"/>
              <w:bottom w:val="single" w:sz="4" w:space="0" w:color="000000"/>
              <w:right w:val="single" w:sz="4" w:space="0" w:color="000000"/>
            </w:tcBorders>
            <w:vAlign w:val="center"/>
          </w:tcPr>
          <w:p w14:paraId="00000229" w14:textId="77777777" w:rsidR="00B64B7D" w:rsidRDefault="00742C7F">
            <w:pPr>
              <w:ind w:left="54"/>
              <w:rPr>
                <w:rFonts w:ascii="Times New Roman" w:eastAsia="Times New Roman" w:hAnsi="Times New Roman" w:cs="Times New Roman"/>
                <w:b/>
                <w:sz w:val="20"/>
                <w:szCs w:val="20"/>
              </w:rPr>
            </w:pPr>
            <w:r>
              <w:rPr>
                <w:rFonts w:ascii="Times New Roman" w:eastAsia="Times New Roman" w:hAnsi="Times New Roman" w:cs="Times New Roman"/>
                <w:sz w:val="20"/>
                <w:szCs w:val="20"/>
              </w:rPr>
              <w:t>Nie</w:t>
            </w:r>
          </w:p>
        </w:tc>
      </w:tr>
      <w:tr w:rsidR="00B64B7D" w14:paraId="47B6FB24" w14:textId="77777777">
        <w:tc>
          <w:tcPr>
            <w:tcW w:w="3812" w:type="dxa"/>
            <w:tcBorders>
              <w:top w:val="single" w:sz="4" w:space="0" w:color="000000"/>
              <w:left w:val="single" w:sz="4" w:space="0" w:color="000000"/>
              <w:bottom w:val="single" w:sz="4" w:space="0" w:color="000000"/>
              <w:right w:val="single" w:sz="4" w:space="0" w:color="000000"/>
            </w:tcBorders>
            <w:shd w:val="clear" w:color="auto" w:fill="E2E2E2"/>
          </w:tcPr>
          <w:p w14:paraId="0000022A" w14:textId="77777777" w:rsidR="00B64B7D" w:rsidRDefault="00742C7F">
            <w:pPr>
              <w:rPr>
                <w:rFonts w:ascii="Times New Roman" w:eastAsia="Times New Roman" w:hAnsi="Times New Roman" w:cs="Times New Roman"/>
                <w:b/>
                <w:sz w:val="20"/>
                <w:szCs w:val="20"/>
              </w:rPr>
            </w:pPr>
            <w:r>
              <w:rPr>
                <w:rFonts w:ascii="Times New Roman" w:eastAsia="Times New Roman" w:hAnsi="Times New Roman" w:cs="Times New Roman"/>
                <w:b/>
                <w:sz w:val="20"/>
                <w:szCs w:val="20"/>
              </w:rPr>
              <w:t>Vplyvy na informatizáciu spoločnosti</w:t>
            </w:r>
          </w:p>
        </w:tc>
        <w:tc>
          <w:tcPr>
            <w:tcW w:w="541" w:type="dxa"/>
            <w:gridSpan w:val="2"/>
            <w:tcBorders>
              <w:top w:val="single" w:sz="4" w:space="0" w:color="000000"/>
              <w:left w:val="single" w:sz="4" w:space="0" w:color="000000"/>
              <w:bottom w:val="single" w:sz="4" w:space="0" w:color="000000"/>
              <w:right w:val="nil"/>
            </w:tcBorders>
          </w:tcPr>
          <w:p w14:paraId="0000022B" w14:textId="77777777" w:rsidR="00B64B7D" w:rsidRDefault="00742C7F">
            <w:pPr>
              <w:jc w:val="center"/>
              <w:rPr>
                <w:rFonts w:ascii="Times New Roman" w:eastAsia="Times New Roman" w:hAnsi="Times New Roman" w:cs="Times New Roman"/>
                <w:b/>
                <w:sz w:val="20"/>
                <w:szCs w:val="20"/>
              </w:rPr>
            </w:pPr>
            <w:r>
              <w:rPr>
                <w:rFonts w:ascii="MS Gothic" w:eastAsia="MS Gothic" w:hAnsi="MS Gothic" w:cs="MS Gothic"/>
                <w:b/>
                <w:sz w:val="20"/>
                <w:szCs w:val="20"/>
              </w:rPr>
              <w:t>☒</w:t>
            </w:r>
          </w:p>
        </w:tc>
        <w:tc>
          <w:tcPr>
            <w:tcW w:w="1312" w:type="dxa"/>
            <w:gridSpan w:val="2"/>
            <w:tcBorders>
              <w:top w:val="single" w:sz="4" w:space="0" w:color="000000"/>
              <w:left w:val="nil"/>
              <w:bottom w:val="single" w:sz="4" w:space="0" w:color="000000"/>
              <w:right w:val="nil"/>
            </w:tcBorders>
          </w:tcPr>
          <w:p w14:paraId="0000022D" w14:textId="77777777" w:rsidR="00B64B7D" w:rsidRDefault="00742C7F">
            <w:pPr>
              <w:ind w:right="-108"/>
              <w:rPr>
                <w:rFonts w:ascii="Times New Roman" w:eastAsia="Times New Roman" w:hAnsi="Times New Roman" w:cs="Times New Roman"/>
                <w:b/>
                <w:sz w:val="20"/>
                <w:szCs w:val="20"/>
              </w:rPr>
            </w:pPr>
            <w:r>
              <w:rPr>
                <w:rFonts w:ascii="Times New Roman" w:eastAsia="Times New Roman" w:hAnsi="Times New Roman" w:cs="Times New Roman"/>
                <w:b/>
                <w:sz w:val="20"/>
                <w:szCs w:val="20"/>
              </w:rPr>
              <w:t>Pozitívne</w:t>
            </w:r>
          </w:p>
        </w:tc>
        <w:tc>
          <w:tcPr>
            <w:tcW w:w="538" w:type="dxa"/>
            <w:gridSpan w:val="2"/>
            <w:tcBorders>
              <w:top w:val="single" w:sz="4" w:space="0" w:color="000000"/>
              <w:left w:val="nil"/>
              <w:bottom w:val="single" w:sz="4" w:space="0" w:color="000000"/>
              <w:right w:val="nil"/>
            </w:tcBorders>
          </w:tcPr>
          <w:p w14:paraId="0000022F" w14:textId="77777777" w:rsidR="00B64B7D" w:rsidRDefault="00742C7F">
            <w:pPr>
              <w:jc w:val="center"/>
              <w:rPr>
                <w:rFonts w:ascii="Times New Roman" w:eastAsia="Times New Roman" w:hAnsi="Times New Roman" w:cs="Times New Roman"/>
                <w:b/>
                <w:sz w:val="20"/>
                <w:szCs w:val="20"/>
              </w:rPr>
            </w:pPr>
            <w:r>
              <w:rPr>
                <w:rFonts w:ascii="MS Gothic" w:eastAsia="MS Gothic" w:hAnsi="MS Gothic" w:cs="MS Gothic"/>
                <w:b/>
                <w:sz w:val="20"/>
                <w:szCs w:val="20"/>
              </w:rPr>
              <w:t>☐</w:t>
            </w:r>
          </w:p>
        </w:tc>
        <w:tc>
          <w:tcPr>
            <w:tcW w:w="1133" w:type="dxa"/>
            <w:tcBorders>
              <w:top w:val="single" w:sz="4" w:space="0" w:color="000000"/>
              <w:left w:val="nil"/>
              <w:bottom w:val="single" w:sz="4" w:space="0" w:color="000000"/>
              <w:right w:val="nil"/>
            </w:tcBorders>
          </w:tcPr>
          <w:p w14:paraId="00000231" w14:textId="77777777" w:rsidR="00B64B7D" w:rsidRDefault="00742C7F">
            <w:pPr>
              <w:rPr>
                <w:rFonts w:ascii="Times New Roman" w:eastAsia="Times New Roman" w:hAnsi="Times New Roman" w:cs="Times New Roman"/>
                <w:b/>
                <w:sz w:val="20"/>
                <w:szCs w:val="20"/>
              </w:rPr>
            </w:pPr>
            <w:r>
              <w:rPr>
                <w:rFonts w:ascii="Times New Roman" w:eastAsia="Times New Roman" w:hAnsi="Times New Roman" w:cs="Times New Roman"/>
                <w:b/>
                <w:sz w:val="20"/>
                <w:szCs w:val="20"/>
              </w:rPr>
              <w:t>Žiadne</w:t>
            </w:r>
          </w:p>
        </w:tc>
        <w:tc>
          <w:tcPr>
            <w:tcW w:w="547" w:type="dxa"/>
            <w:gridSpan w:val="2"/>
            <w:tcBorders>
              <w:top w:val="single" w:sz="4" w:space="0" w:color="000000"/>
              <w:left w:val="nil"/>
              <w:bottom w:val="single" w:sz="4" w:space="0" w:color="000000"/>
              <w:right w:val="nil"/>
            </w:tcBorders>
          </w:tcPr>
          <w:p w14:paraId="00000232" w14:textId="77777777" w:rsidR="00B64B7D" w:rsidRDefault="00742C7F">
            <w:pPr>
              <w:jc w:val="center"/>
              <w:rPr>
                <w:rFonts w:ascii="Times New Roman" w:eastAsia="Times New Roman" w:hAnsi="Times New Roman" w:cs="Times New Roman"/>
                <w:b/>
                <w:sz w:val="20"/>
                <w:szCs w:val="20"/>
              </w:rPr>
            </w:pPr>
            <w:r>
              <w:rPr>
                <w:rFonts w:ascii="MS Gothic" w:eastAsia="MS Gothic" w:hAnsi="MS Gothic" w:cs="MS Gothic"/>
                <w:b/>
                <w:sz w:val="20"/>
                <w:szCs w:val="20"/>
              </w:rPr>
              <w:t>☐</w:t>
            </w:r>
          </w:p>
        </w:tc>
        <w:tc>
          <w:tcPr>
            <w:tcW w:w="1297" w:type="dxa"/>
            <w:tcBorders>
              <w:top w:val="single" w:sz="4" w:space="0" w:color="000000"/>
              <w:left w:val="nil"/>
              <w:bottom w:val="single" w:sz="4" w:space="0" w:color="000000"/>
              <w:right w:val="single" w:sz="4" w:space="0" w:color="000000"/>
            </w:tcBorders>
          </w:tcPr>
          <w:p w14:paraId="00000234" w14:textId="77777777" w:rsidR="00B64B7D" w:rsidRDefault="00742C7F">
            <w:pPr>
              <w:ind w:left="54"/>
              <w:rPr>
                <w:rFonts w:ascii="Times New Roman" w:eastAsia="Times New Roman" w:hAnsi="Times New Roman" w:cs="Times New Roman"/>
                <w:b/>
                <w:sz w:val="20"/>
                <w:szCs w:val="20"/>
              </w:rPr>
            </w:pPr>
            <w:r>
              <w:rPr>
                <w:rFonts w:ascii="Times New Roman" w:eastAsia="Times New Roman" w:hAnsi="Times New Roman" w:cs="Times New Roman"/>
                <w:b/>
                <w:sz w:val="20"/>
                <w:szCs w:val="20"/>
              </w:rPr>
              <w:t>Negatívne</w:t>
            </w:r>
          </w:p>
        </w:tc>
      </w:tr>
    </w:tbl>
    <w:p w14:paraId="00000235" w14:textId="77777777" w:rsidR="00B64B7D" w:rsidRDefault="00B64B7D">
      <w:pPr>
        <w:widowControl w:val="0"/>
        <w:pBdr>
          <w:top w:val="nil"/>
          <w:left w:val="nil"/>
          <w:bottom w:val="nil"/>
          <w:right w:val="nil"/>
          <w:between w:val="nil"/>
        </w:pBdr>
        <w:spacing w:after="0" w:line="276" w:lineRule="auto"/>
        <w:rPr>
          <w:rFonts w:ascii="Times New Roman" w:eastAsia="Times New Roman" w:hAnsi="Times New Roman" w:cs="Times New Roman"/>
          <w:b/>
          <w:sz w:val="20"/>
          <w:szCs w:val="20"/>
        </w:rPr>
      </w:pPr>
    </w:p>
    <w:tbl>
      <w:tblPr>
        <w:tblStyle w:val="a1"/>
        <w:tblW w:w="918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812"/>
        <w:gridCol w:w="541"/>
        <w:gridCol w:w="1281"/>
        <w:gridCol w:w="31"/>
        <w:gridCol w:w="538"/>
        <w:gridCol w:w="1133"/>
        <w:gridCol w:w="547"/>
        <w:gridCol w:w="1297"/>
      </w:tblGrid>
      <w:tr w:rsidR="00B64B7D" w14:paraId="51CD6CF1" w14:textId="77777777">
        <w:tc>
          <w:tcPr>
            <w:tcW w:w="3812" w:type="dxa"/>
            <w:tcBorders>
              <w:top w:val="single" w:sz="4" w:space="0" w:color="000000"/>
              <w:left w:val="single" w:sz="4" w:space="0" w:color="000000"/>
              <w:bottom w:val="nil"/>
              <w:right w:val="single" w:sz="4" w:space="0" w:color="000000"/>
            </w:tcBorders>
            <w:shd w:val="clear" w:color="auto" w:fill="E2E2E2"/>
          </w:tcPr>
          <w:p w14:paraId="00000236" w14:textId="77777777" w:rsidR="00B64B7D" w:rsidRDefault="00742C7F">
            <w:pPr>
              <w:spacing w:after="0" w:line="240" w:lineRule="auto"/>
              <w:rPr>
                <w:rFonts w:ascii="Times New Roman" w:eastAsia="Times New Roman" w:hAnsi="Times New Roman" w:cs="Times New Roman"/>
                <w:b/>
                <w:sz w:val="20"/>
                <w:szCs w:val="20"/>
              </w:rPr>
            </w:pPr>
            <w:r>
              <w:rPr>
                <w:rFonts w:ascii="Times New Roman" w:eastAsia="Times New Roman" w:hAnsi="Times New Roman" w:cs="Times New Roman"/>
                <w:b/>
                <w:sz w:val="20"/>
                <w:szCs w:val="20"/>
              </w:rPr>
              <w:t>Vplyvy na služby verejnej správy pre občana, z toho</w:t>
            </w:r>
          </w:p>
        </w:tc>
        <w:tc>
          <w:tcPr>
            <w:tcW w:w="541" w:type="dxa"/>
            <w:tcBorders>
              <w:top w:val="single" w:sz="4" w:space="0" w:color="000000"/>
              <w:left w:val="single" w:sz="4" w:space="0" w:color="000000"/>
              <w:bottom w:val="nil"/>
              <w:right w:val="nil"/>
            </w:tcBorders>
          </w:tcPr>
          <w:p w14:paraId="00000237" w14:textId="77777777" w:rsidR="00B64B7D" w:rsidRDefault="00B64B7D">
            <w:pPr>
              <w:spacing w:after="0" w:line="240" w:lineRule="auto"/>
              <w:jc w:val="center"/>
              <w:rPr>
                <w:rFonts w:ascii="Times New Roman" w:eastAsia="Times New Roman" w:hAnsi="Times New Roman" w:cs="Times New Roman"/>
                <w:b/>
                <w:sz w:val="20"/>
                <w:szCs w:val="20"/>
              </w:rPr>
            </w:pPr>
          </w:p>
        </w:tc>
        <w:tc>
          <w:tcPr>
            <w:tcW w:w="1281" w:type="dxa"/>
            <w:tcBorders>
              <w:top w:val="single" w:sz="4" w:space="0" w:color="000000"/>
              <w:left w:val="nil"/>
              <w:bottom w:val="nil"/>
              <w:right w:val="nil"/>
            </w:tcBorders>
          </w:tcPr>
          <w:p w14:paraId="00000238" w14:textId="77777777" w:rsidR="00B64B7D" w:rsidRDefault="00B64B7D">
            <w:pPr>
              <w:spacing w:after="0" w:line="240" w:lineRule="auto"/>
              <w:ind w:right="-108"/>
              <w:rPr>
                <w:rFonts w:ascii="Times New Roman" w:eastAsia="Times New Roman" w:hAnsi="Times New Roman" w:cs="Times New Roman"/>
                <w:b/>
                <w:sz w:val="20"/>
                <w:szCs w:val="20"/>
              </w:rPr>
            </w:pPr>
          </w:p>
        </w:tc>
        <w:tc>
          <w:tcPr>
            <w:tcW w:w="569" w:type="dxa"/>
            <w:gridSpan w:val="2"/>
            <w:tcBorders>
              <w:top w:val="single" w:sz="4" w:space="0" w:color="000000"/>
              <w:left w:val="nil"/>
              <w:bottom w:val="nil"/>
              <w:right w:val="nil"/>
            </w:tcBorders>
          </w:tcPr>
          <w:p w14:paraId="00000239" w14:textId="77777777" w:rsidR="00B64B7D" w:rsidRDefault="00B64B7D">
            <w:pPr>
              <w:spacing w:after="0" w:line="240" w:lineRule="auto"/>
              <w:jc w:val="center"/>
              <w:rPr>
                <w:rFonts w:ascii="Times New Roman" w:eastAsia="Times New Roman" w:hAnsi="Times New Roman" w:cs="Times New Roman"/>
                <w:b/>
                <w:sz w:val="20"/>
                <w:szCs w:val="20"/>
              </w:rPr>
            </w:pPr>
          </w:p>
        </w:tc>
        <w:tc>
          <w:tcPr>
            <w:tcW w:w="1133" w:type="dxa"/>
            <w:tcBorders>
              <w:top w:val="single" w:sz="4" w:space="0" w:color="000000"/>
              <w:left w:val="nil"/>
              <w:bottom w:val="nil"/>
              <w:right w:val="nil"/>
            </w:tcBorders>
          </w:tcPr>
          <w:p w14:paraId="0000023B" w14:textId="77777777" w:rsidR="00B64B7D" w:rsidRDefault="00B64B7D">
            <w:pPr>
              <w:spacing w:after="0" w:line="240" w:lineRule="auto"/>
              <w:rPr>
                <w:rFonts w:ascii="Times New Roman" w:eastAsia="Times New Roman" w:hAnsi="Times New Roman" w:cs="Times New Roman"/>
                <w:b/>
                <w:sz w:val="20"/>
                <w:szCs w:val="20"/>
              </w:rPr>
            </w:pPr>
          </w:p>
        </w:tc>
        <w:tc>
          <w:tcPr>
            <w:tcW w:w="547" w:type="dxa"/>
            <w:tcBorders>
              <w:top w:val="single" w:sz="4" w:space="0" w:color="000000"/>
              <w:left w:val="nil"/>
              <w:bottom w:val="nil"/>
              <w:right w:val="nil"/>
            </w:tcBorders>
          </w:tcPr>
          <w:p w14:paraId="0000023C" w14:textId="77777777" w:rsidR="00B64B7D" w:rsidRDefault="00B64B7D">
            <w:pPr>
              <w:spacing w:after="0" w:line="240" w:lineRule="auto"/>
              <w:jc w:val="center"/>
              <w:rPr>
                <w:rFonts w:ascii="Times New Roman" w:eastAsia="Times New Roman" w:hAnsi="Times New Roman" w:cs="Times New Roman"/>
                <w:b/>
                <w:sz w:val="20"/>
                <w:szCs w:val="20"/>
              </w:rPr>
            </w:pPr>
          </w:p>
        </w:tc>
        <w:tc>
          <w:tcPr>
            <w:tcW w:w="1297" w:type="dxa"/>
            <w:tcBorders>
              <w:top w:val="single" w:sz="4" w:space="0" w:color="000000"/>
              <w:left w:val="nil"/>
              <w:bottom w:val="nil"/>
              <w:right w:val="single" w:sz="4" w:space="0" w:color="000000"/>
            </w:tcBorders>
          </w:tcPr>
          <w:p w14:paraId="0000023D" w14:textId="77777777" w:rsidR="00B64B7D" w:rsidRDefault="00B64B7D">
            <w:pPr>
              <w:spacing w:after="0" w:line="240" w:lineRule="auto"/>
              <w:ind w:left="54"/>
              <w:rPr>
                <w:rFonts w:ascii="Times New Roman" w:eastAsia="Times New Roman" w:hAnsi="Times New Roman" w:cs="Times New Roman"/>
                <w:b/>
                <w:sz w:val="20"/>
                <w:szCs w:val="20"/>
              </w:rPr>
            </w:pPr>
          </w:p>
        </w:tc>
      </w:tr>
      <w:tr w:rsidR="00B64B7D" w14:paraId="50D943B9" w14:textId="77777777">
        <w:tc>
          <w:tcPr>
            <w:tcW w:w="3812" w:type="dxa"/>
            <w:tcBorders>
              <w:top w:val="nil"/>
              <w:left w:val="single" w:sz="4" w:space="0" w:color="000000"/>
              <w:bottom w:val="nil"/>
              <w:right w:val="single" w:sz="4" w:space="0" w:color="000000"/>
            </w:tcBorders>
            <w:shd w:val="clear" w:color="auto" w:fill="E2E2E2"/>
          </w:tcPr>
          <w:p w14:paraId="0000023E" w14:textId="77777777" w:rsidR="00B64B7D" w:rsidRDefault="00742C7F">
            <w:pPr>
              <w:spacing w:after="0" w:line="240" w:lineRule="auto"/>
              <w:ind w:left="196" w:hanging="196"/>
              <w:rPr>
                <w:rFonts w:ascii="Times New Roman" w:eastAsia="Times New Roman" w:hAnsi="Times New Roman" w:cs="Times New Roman"/>
                <w:b/>
                <w:sz w:val="20"/>
                <w:szCs w:val="20"/>
              </w:rPr>
            </w:pPr>
            <w:r>
              <w:rPr>
                <w:rFonts w:ascii="Times New Roman" w:eastAsia="Times New Roman" w:hAnsi="Times New Roman" w:cs="Times New Roman"/>
                <w:b/>
                <w:sz w:val="20"/>
                <w:szCs w:val="20"/>
              </w:rPr>
              <w:t xml:space="preserve">    vplyvy služieb verejnej správy na občana</w:t>
            </w:r>
          </w:p>
        </w:tc>
        <w:tc>
          <w:tcPr>
            <w:tcW w:w="541" w:type="dxa"/>
            <w:tcBorders>
              <w:top w:val="nil"/>
              <w:left w:val="single" w:sz="4" w:space="0" w:color="000000"/>
              <w:bottom w:val="dotted" w:sz="4" w:space="0" w:color="000000"/>
              <w:right w:val="nil"/>
            </w:tcBorders>
          </w:tcPr>
          <w:p w14:paraId="0000023F" w14:textId="77777777" w:rsidR="00B64B7D" w:rsidRDefault="00742C7F">
            <w:pPr>
              <w:spacing w:after="0" w:line="240" w:lineRule="auto"/>
              <w:jc w:val="center"/>
              <w:rPr>
                <w:rFonts w:ascii="Times New Roman" w:eastAsia="Times New Roman" w:hAnsi="Times New Roman" w:cs="Times New Roman"/>
                <w:b/>
                <w:sz w:val="20"/>
                <w:szCs w:val="20"/>
              </w:rPr>
            </w:pPr>
            <w:r>
              <w:rPr>
                <w:rFonts w:ascii="MS Gothic" w:eastAsia="MS Gothic" w:hAnsi="MS Gothic" w:cs="MS Gothic"/>
                <w:b/>
                <w:sz w:val="20"/>
                <w:szCs w:val="20"/>
              </w:rPr>
              <w:t>☐</w:t>
            </w:r>
          </w:p>
        </w:tc>
        <w:tc>
          <w:tcPr>
            <w:tcW w:w="1312" w:type="dxa"/>
            <w:gridSpan w:val="2"/>
            <w:tcBorders>
              <w:top w:val="nil"/>
              <w:left w:val="nil"/>
              <w:bottom w:val="dotted" w:sz="4" w:space="0" w:color="000000"/>
              <w:right w:val="nil"/>
            </w:tcBorders>
          </w:tcPr>
          <w:p w14:paraId="00000240" w14:textId="77777777" w:rsidR="00B64B7D" w:rsidRDefault="00742C7F">
            <w:pPr>
              <w:spacing w:after="0" w:line="240" w:lineRule="auto"/>
              <w:ind w:right="-108"/>
              <w:rPr>
                <w:rFonts w:ascii="Times New Roman" w:eastAsia="Times New Roman" w:hAnsi="Times New Roman" w:cs="Times New Roman"/>
                <w:b/>
                <w:sz w:val="20"/>
                <w:szCs w:val="20"/>
              </w:rPr>
            </w:pPr>
            <w:r>
              <w:rPr>
                <w:rFonts w:ascii="Times New Roman" w:eastAsia="Times New Roman" w:hAnsi="Times New Roman" w:cs="Times New Roman"/>
                <w:b/>
                <w:sz w:val="20"/>
                <w:szCs w:val="20"/>
              </w:rPr>
              <w:t>Pozitívne</w:t>
            </w:r>
          </w:p>
        </w:tc>
        <w:tc>
          <w:tcPr>
            <w:tcW w:w="538" w:type="dxa"/>
            <w:tcBorders>
              <w:top w:val="nil"/>
              <w:left w:val="nil"/>
              <w:bottom w:val="dotted" w:sz="4" w:space="0" w:color="000000"/>
              <w:right w:val="nil"/>
            </w:tcBorders>
          </w:tcPr>
          <w:p w14:paraId="00000242" w14:textId="77777777" w:rsidR="00B64B7D" w:rsidRDefault="00742C7F">
            <w:pPr>
              <w:spacing w:after="0" w:line="240" w:lineRule="auto"/>
              <w:jc w:val="center"/>
              <w:rPr>
                <w:rFonts w:ascii="Times New Roman" w:eastAsia="Times New Roman" w:hAnsi="Times New Roman" w:cs="Times New Roman"/>
                <w:b/>
                <w:sz w:val="20"/>
                <w:szCs w:val="20"/>
              </w:rPr>
            </w:pPr>
            <w:r>
              <w:rPr>
                <w:rFonts w:ascii="MS Gothic" w:eastAsia="MS Gothic" w:hAnsi="MS Gothic" w:cs="MS Gothic"/>
                <w:b/>
                <w:sz w:val="20"/>
                <w:szCs w:val="20"/>
              </w:rPr>
              <w:t>☒</w:t>
            </w:r>
          </w:p>
        </w:tc>
        <w:tc>
          <w:tcPr>
            <w:tcW w:w="1133" w:type="dxa"/>
            <w:tcBorders>
              <w:top w:val="nil"/>
              <w:left w:val="nil"/>
              <w:bottom w:val="dotted" w:sz="4" w:space="0" w:color="000000"/>
              <w:right w:val="nil"/>
            </w:tcBorders>
          </w:tcPr>
          <w:p w14:paraId="00000243" w14:textId="77777777" w:rsidR="00B64B7D" w:rsidRDefault="00742C7F">
            <w:pPr>
              <w:spacing w:after="0" w:line="240" w:lineRule="auto"/>
              <w:rPr>
                <w:rFonts w:ascii="Times New Roman" w:eastAsia="Times New Roman" w:hAnsi="Times New Roman" w:cs="Times New Roman"/>
                <w:b/>
                <w:sz w:val="20"/>
                <w:szCs w:val="20"/>
              </w:rPr>
            </w:pPr>
            <w:r>
              <w:rPr>
                <w:rFonts w:ascii="Times New Roman" w:eastAsia="Times New Roman" w:hAnsi="Times New Roman" w:cs="Times New Roman"/>
                <w:b/>
                <w:sz w:val="20"/>
                <w:szCs w:val="20"/>
              </w:rPr>
              <w:t>Žiadne</w:t>
            </w:r>
          </w:p>
        </w:tc>
        <w:tc>
          <w:tcPr>
            <w:tcW w:w="547" w:type="dxa"/>
            <w:tcBorders>
              <w:top w:val="nil"/>
              <w:left w:val="nil"/>
              <w:bottom w:val="dotted" w:sz="4" w:space="0" w:color="000000"/>
              <w:right w:val="nil"/>
            </w:tcBorders>
          </w:tcPr>
          <w:p w14:paraId="00000244" w14:textId="77777777" w:rsidR="00B64B7D" w:rsidRDefault="00742C7F">
            <w:pPr>
              <w:spacing w:after="0" w:line="240" w:lineRule="auto"/>
              <w:jc w:val="center"/>
              <w:rPr>
                <w:rFonts w:ascii="Times New Roman" w:eastAsia="Times New Roman" w:hAnsi="Times New Roman" w:cs="Times New Roman"/>
                <w:b/>
                <w:sz w:val="20"/>
                <w:szCs w:val="20"/>
              </w:rPr>
            </w:pPr>
            <w:r>
              <w:rPr>
                <w:rFonts w:ascii="MS Gothic" w:eastAsia="MS Gothic" w:hAnsi="MS Gothic" w:cs="MS Gothic"/>
                <w:b/>
                <w:sz w:val="20"/>
                <w:szCs w:val="20"/>
              </w:rPr>
              <w:t>☐</w:t>
            </w:r>
          </w:p>
        </w:tc>
        <w:tc>
          <w:tcPr>
            <w:tcW w:w="1297" w:type="dxa"/>
            <w:tcBorders>
              <w:top w:val="nil"/>
              <w:left w:val="nil"/>
              <w:bottom w:val="dotted" w:sz="4" w:space="0" w:color="000000"/>
              <w:right w:val="single" w:sz="4" w:space="0" w:color="000000"/>
            </w:tcBorders>
          </w:tcPr>
          <w:p w14:paraId="00000245" w14:textId="77777777" w:rsidR="00B64B7D" w:rsidRDefault="00742C7F">
            <w:pPr>
              <w:spacing w:after="0" w:line="240" w:lineRule="auto"/>
              <w:ind w:left="54"/>
              <w:rPr>
                <w:rFonts w:ascii="Times New Roman" w:eastAsia="Times New Roman" w:hAnsi="Times New Roman" w:cs="Times New Roman"/>
                <w:b/>
                <w:sz w:val="20"/>
                <w:szCs w:val="20"/>
              </w:rPr>
            </w:pPr>
            <w:r>
              <w:rPr>
                <w:rFonts w:ascii="Times New Roman" w:eastAsia="Times New Roman" w:hAnsi="Times New Roman" w:cs="Times New Roman"/>
                <w:b/>
                <w:sz w:val="20"/>
                <w:szCs w:val="20"/>
              </w:rPr>
              <w:t>Negatívne</w:t>
            </w:r>
          </w:p>
        </w:tc>
      </w:tr>
      <w:tr w:rsidR="00B64B7D" w14:paraId="3A07F8CF" w14:textId="77777777">
        <w:tc>
          <w:tcPr>
            <w:tcW w:w="3812" w:type="dxa"/>
            <w:tcBorders>
              <w:top w:val="nil"/>
              <w:left w:val="single" w:sz="4" w:space="0" w:color="000000"/>
              <w:bottom w:val="nil"/>
              <w:right w:val="single" w:sz="4" w:space="0" w:color="000000"/>
            </w:tcBorders>
            <w:shd w:val="clear" w:color="auto" w:fill="E2E2E2"/>
          </w:tcPr>
          <w:p w14:paraId="00000246" w14:textId="77777777" w:rsidR="00B64B7D" w:rsidRDefault="00742C7F">
            <w:pPr>
              <w:spacing w:after="0" w:line="240" w:lineRule="auto"/>
              <w:ind w:left="168" w:hanging="168"/>
              <w:rPr>
                <w:rFonts w:ascii="Times New Roman" w:eastAsia="Times New Roman" w:hAnsi="Times New Roman" w:cs="Times New Roman"/>
                <w:b/>
                <w:sz w:val="20"/>
                <w:szCs w:val="20"/>
              </w:rPr>
            </w:pPr>
            <w:r>
              <w:rPr>
                <w:rFonts w:ascii="Times New Roman" w:eastAsia="Times New Roman" w:hAnsi="Times New Roman" w:cs="Times New Roman"/>
                <w:b/>
                <w:sz w:val="20"/>
                <w:szCs w:val="20"/>
              </w:rPr>
              <w:t xml:space="preserve">    vplyvy na procesy služieb vo verejnej správe</w:t>
            </w:r>
          </w:p>
        </w:tc>
        <w:tc>
          <w:tcPr>
            <w:tcW w:w="541" w:type="dxa"/>
            <w:tcBorders>
              <w:top w:val="dotted" w:sz="4" w:space="0" w:color="000000"/>
              <w:left w:val="single" w:sz="4" w:space="0" w:color="000000"/>
              <w:bottom w:val="dotted" w:sz="4" w:space="0" w:color="000000"/>
              <w:right w:val="nil"/>
            </w:tcBorders>
            <w:vAlign w:val="center"/>
          </w:tcPr>
          <w:p w14:paraId="00000247" w14:textId="77777777" w:rsidR="00B64B7D" w:rsidRDefault="00742C7F">
            <w:pPr>
              <w:spacing w:after="0" w:line="240" w:lineRule="auto"/>
              <w:jc w:val="center"/>
              <w:rPr>
                <w:rFonts w:ascii="Times New Roman" w:eastAsia="Times New Roman" w:hAnsi="Times New Roman" w:cs="Times New Roman"/>
                <w:b/>
                <w:sz w:val="20"/>
                <w:szCs w:val="20"/>
              </w:rPr>
            </w:pPr>
            <w:r>
              <w:rPr>
                <w:rFonts w:ascii="MS Gothic" w:eastAsia="MS Gothic" w:hAnsi="MS Gothic" w:cs="MS Gothic"/>
                <w:b/>
                <w:sz w:val="20"/>
                <w:szCs w:val="20"/>
              </w:rPr>
              <w:t>☐</w:t>
            </w:r>
          </w:p>
        </w:tc>
        <w:tc>
          <w:tcPr>
            <w:tcW w:w="1312" w:type="dxa"/>
            <w:gridSpan w:val="2"/>
            <w:tcBorders>
              <w:top w:val="dotted" w:sz="4" w:space="0" w:color="000000"/>
              <w:left w:val="nil"/>
              <w:bottom w:val="dotted" w:sz="4" w:space="0" w:color="000000"/>
              <w:right w:val="nil"/>
            </w:tcBorders>
            <w:vAlign w:val="center"/>
          </w:tcPr>
          <w:p w14:paraId="00000248" w14:textId="77777777" w:rsidR="00B64B7D" w:rsidRDefault="00742C7F">
            <w:pPr>
              <w:spacing w:after="0" w:line="240" w:lineRule="auto"/>
              <w:ind w:right="-108"/>
              <w:rPr>
                <w:rFonts w:ascii="Times New Roman" w:eastAsia="Times New Roman" w:hAnsi="Times New Roman" w:cs="Times New Roman"/>
                <w:b/>
                <w:sz w:val="20"/>
                <w:szCs w:val="20"/>
              </w:rPr>
            </w:pPr>
            <w:r>
              <w:rPr>
                <w:rFonts w:ascii="Times New Roman" w:eastAsia="Times New Roman" w:hAnsi="Times New Roman" w:cs="Times New Roman"/>
                <w:b/>
                <w:sz w:val="20"/>
                <w:szCs w:val="20"/>
              </w:rPr>
              <w:t>Pozitívne</w:t>
            </w:r>
          </w:p>
        </w:tc>
        <w:tc>
          <w:tcPr>
            <w:tcW w:w="538" w:type="dxa"/>
            <w:tcBorders>
              <w:top w:val="dotted" w:sz="4" w:space="0" w:color="000000"/>
              <w:left w:val="nil"/>
              <w:bottom w:val="dotted" w:sz="4" w:space="0" w:color="000000"/>
              <w:right w:val="nil"/>
            </w:tcBorders>
            <w:vAlign w:val="center"/>
          </w:tcPr>
          <w:p w14:paraId="0000024A" w14:textId="77777777" w:rsidR="00B64B7D" w:rsidRDefault="00742C7F">
            <w:pPr>
              <w:spacing w:after="0" w:line="240" w:lineRule="auto"/>
              <w:jc w:val="center"/>
              <w:rPr>
                <w:rFonts w:ascii="Times New Roman" w:eastAsia="Times New Roman" w:hAnsi="Times New Roman" w:cs="Times New Roman"/>
                <w:b/>
                <w:sz w:val="20"/>
                <w:szCs w:val="20"/>
              </w:rPr>
            </w:pPr>
            <w:r>
              <w:rPr>
                <w:rFonts w:ascii="MS Gothic" w:eastAsia="MS Gothic" w:hAnsi="MS Gothic" w:cs="MS Gothic"/>
                <w:b/>
                <w:sz w:val="20"/>
                <w:szCs w:val="20"/>
              </w:rPr>
              <w:t>☒</w:t>
            </w:r>
          </w:p>
        </w:tc>
        <w:tc>
          <w:tcPr>
            <w:tcW w:w="1133" w:type="dxa"/>
            <w:tcBorders>
              <w:top w:val="dotted" w:sz="4" w:space="0" w:color="000000"/>
              <w:left w:val="nil"/>
              <w:bottom w:val="dotted" w:sz="4" w:space="0" w:color="000000"/>
              <w:right w:val="nil"/>
            </w:tcBorders>
            <w:vAlign w:val="center"/>
          </w:tcPr>
          <w:p w14:paraId="0000024B" w14:textId="77777777" w:rsidR="00B64B7D" w:rsidRDefault="00742C7F">
            <w:pPr>
              <w:spacing w:after="0" w:line="240" w:lineRule="auto"/>
              <w:rPr>
                <w:rFonts w:ascii="Times New Roman" w:eastAsia="Times New Roman" w:hAnsi="Times New Roman" w:cs="Times New Roman"/>
                <w:b/>
                <w:sz w:val="20"/>
                <w:szCs w:val="20"/>
              </w:rPr>
            </w:pPr>
            <w:r>
              <w:rPr>
                <w:rFonts w:ascii="Times New Roman" w:eastAsia="Times New Roman" w:hAnsi="Times New Roman" w:cs="Times New Roman"/>
                <w:b/>
                <w:sz w:val="20"/>
                <w:szCs w:val="20"/>
              </w:rPr>
              <w:t>Žiadne</w:t>
            </w:r>
          </w:p>
        </w:tc>
        <w:tc>
          <w:tcPr>
            <w:tcW w:w="547" w:type="dxa"/>
            <w:tcBorders>
              <w:top w:val="dotted" w:sz="4" w:space="0" w:color="000000"/>
              <w:left w:val="nil"/>
              <w:bottom w:val="dotted" w:sz="4" w:space="0" w:color="000000"/>
              <w:right w:val="nil"/>
            </w:tcBorders>
            <w:vAlign w:val="center"/>
          </w:tcPr>
          <w:p w14:paraId="0000024C" w14:textId="77777777" w:rsidR="00B64B7D" w:rsidRDefault="00742C7F">
            <w:pPr>
              <w:spacing w:after="0" w:line="240" w:lineRule="auto"/>
              <w:jc w:val="center"/>
              <w:rPr>
                <w:rFonts w:ascii="Times New Roman" w:eastAsia="Times New Roman" w:hAnsi="Times New Roman" w:cs="Times New Roman"/>
                <w:b/>
                <w:sz w:val="20"/>
                <w:szCs w:val="20"/>
              </w:rPr>
            </w:pPr>
            <w:r>
              <w:rPr>
                <w:rFonts w:ascii="MS Gothic" w:eastAsia="MS Gothic" w:hAnsi="MS Gothic" w:cs="MS Gothic"/>
                <w:b/>
                <w:sz w:val="20"/>
                <w:szCs w:val="20"/>
              </w:rPr>
              <w:t>☐</w:t>
            </w:r>
          </w:p>
        </w:tc>
        <w:tc>
          <w:tcPr>
            <w:tcW w:w="1297" w:type="dxa"/>
            <w:tcBorders>
              <w:top w:val="dotted" w:sz="4" w:space="0" w:color="000000"/>
              <w:left w:val="nil"/>
              <w:bottom w:val="dotted" w:sz="4" w:space="0" w:color="000000"/>
              <w:right w:val="single" w:sz="4" w:space="0" w:color="000000"/>
            </w:tcBorders>
            <w:vAlign w:val="center"/>
          </w:tcPr>
          <w:p w14:paraId="0000024D" w14:textId="77777777" w:rsidR="00B64B7D" w:rsidRDefault="00742C7F">
            <w:pPr>
              <w:spacing w:after="0" w:line="240" w:lineRule="auto"/>
              <w:ind w:left="54"/>
              <w:rPr>
                <w:rFonts w:ascii="Times New Roman" w:eastAsia="Times New Roman" w:hAnsi="Times New Roman" w:cs="Times New Roman"/>
                <w:b/>
                <w:sz w:val="20"/>
                <w:szCs w:val="20"/>
              </w:rPr>
            </w:pPr>
            <w:r>
              <w:rPr>
                <w:rFonts w:ascii="Times New Roman" w:eastAsia="Times New Roman" w:hAnsi="Times New Roman" w:cs="Times New Roman"/>
                <w:b/>
                <w:sz w:val="20"/>
                <w:szCs w:val="20"/>
              </w:rPr>
              <w:t>Negatívne</w:t>
            </w:r>
          </w:p>
        </w:tc>
      </w:tr>
    </w:tbl>
    <w:p w14:paraId="0000024E" w14:textId="77777777" w:rsidR="00B64B7D" w:rsidRDefault="00B64B7D">
      <w:pPr>
        <w:widowControl w:val="0"/>
        <w:pBdr>
          <w:top w:val="nil"/>
          <w:left w:val="nil"/>
          <w:bottom w:val="nil"/>
          <w:right w:val="nil"/>
          <w:between w:val="nil"/>
        </w:pBdr>
        <w:spacing w:after="0" w:line="276" w:lineRule="auto"/>
        <w:rPr>
          <w:rFonts w:ascii="Times New Roman" w:eastAsia="Times New Roman" w:hAnsi="Times New Roman" w:cs="Times New Roman"/>
          <w:b/>
          <w:sz w:val="20"/>
          <w:szCs w:val="20"/>
        </w:rPr>
      </w:pPr>
    </w:p>
    <w:tbl>
      <w:tblPr>
        <w:tblStyle w:val="a2"/>
        <w:tblW w:w="918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812"/>
        <w:gridCol w:w="541"/>
        <w:gridCol w:w="1312"/>
        <w:gridCol w:w="538"/>
        <w:gridCol w:w="1133"/>
        <w:gridCol w:w="547"/>
        <w:gridCol w:w="1297"/>
      </w:tblGrid>
      <w:tr w:rsidR="00B64B7D" w14:paraId="5EE0E68D" w14:textId="77777777">
        <w:tc>
          <w:tcPr>
            <w:tcW w:w="3812" w:type="dxa"/>
            <w:tcBorders>
              <w:top w:val="single" w:sz="4" w:space="0" w:color="000000"/>
              <w:left w:val="single" w:sz="4" w:space="0" w:color="000000"/>
              <w:bottom w:val="single" w:sz="4" w:space="0" w:color="000000"/>
              <w:right w:val="single" w:sz="4" w:space="0" w:color="000000"/>
            </w:tcBorders>
            <w:shd w:val="clear" w:color="auto" w:fill="E2E2E2"/>
          </w:tcPr>
          <w:p w14:paraId="0000024F" w14:textId="77777777" w:rsidR="00B64B7D" w:rsidRDefault="00742C7F">
            <w:pPr>
              <w:rPr>
                <w:rFonts w:ascii="Times New Roman" w:eastAsia="Times New Roman" w:hAnsi="Times New Roman" w:cs="Times New Roman"/>
                <w:b/>
                <w:sz w:val="20"/>
                <w:szCs w:val="20"/>
              </w:rPr>
            </w:pPr>
            <w:r>
              <w:rPr>
                <w:rFonts w:ascii="Times New Roman" w:eastAsia="Times New Roman" w:hAnsi="Times New Roman" w:cs="Times New Roman"/>
                <w:b/>
                <w:sz w:val="20"/>
                <w:szCs w:val="20"/>
              </w:rPr>
              <w:t>Vplyvy na manželstvo, rodičovstvo a rodinu</w:t>
            </w:r>
          </w:p>
        </w:tc>
        <w:tc>
          <w:tcPr>
            <w:tcW w:w="541" w:type="dxa"/>
            <w:tcBorders>
              <w:top w:val="single" w:sz="4" w:space="0" w:color="000000"/>
              <w:left w:val="single" w:sz="4" w:space="0" w:color="000000"/>
              <w:bottom w:val="single" w:sz="4" w:space="0" w:color="000000"/>
              <w:right w:val="nil"/>
            </w:tcBorders>
            <w:vAlign w:val="center"/>
          </w:tcPr>
          <w:p w14:paraId="00000250" w14:textId="77777777" w:rsidR="00B64B7D" w:rsidRDefault="00742C7F">
            <w:pPr>
              <w:jc w:val="center"/>
              <w:rPr>
                <w:rFonts w:ascii="Times New Roman" w:eastAsia="Times New Roman" w:hAnsi="Times New Roman" w:cs="Times New Roman"/>
                <w:b/>
                <w:sz w:val="20"/>
                <w:szCs w:val="20"/>
              </w:rPr>
            </w:pPr>
            <w:r>
              <w:rPr>
                <w:rFonts w:ascii="MS Gothic" w:eastAsia="MS Gothic" w:hAnsi="MS Gothic" w:cs="MS Gothic"/>
                <w:b/>
                <w:sz w:val="20"/>
                <w:szCs w:val="20"/>
              </w:rPr>
              <w:t>☐</w:t>
            </w:r>
          </w:p>
        </w:tc>
        <w:tc>
          <w:tcPr>
            <w:tcW w:w="1312" w:type="dxa"/>
            <w:tcBorders>
              <w:top w:val="single" w:sz="4" w:space="0" w:color="000000"/>
              <w:left w:val="nil"/>
              <w:bottom w:val="single" w:sz="4" w:space="0" w:color="000000"/>
              <w:right w:val="nil"/>
            </w:tcBorders>
            <w:vAlign w:val="center"/>
          </w:tcPr>
          <w:p w14:paraId="00000251" w14:textId="77777777" w:rsidR="00B64B7D" w:rsidRDefault="00742C7F">
            <w:pPr>
              <w:ind w:right="-108"/>
              <w:rPr>
                <w:rFonts w:ascii="Times New Roman" w:eastAsia="Times New Roman" w:hAnsi="Times New Roman" w:cs="Times New Roman"/>
                <w:b/>
                <w:sz w:val="20"/>
                <w:szCs w:val="20"/>
              </w:rPr>
            </w:pPr>
            <w:r>
              <w:rPr>
                <w:rFonts w:ascii="Times New Roman" w:eastAsia="Times New Roman" w:hAnsi="Times New Roman" w:cs="Times New Roman"/>
                <w:b/>
                <w:sz w:val="20"/>
                <w:szCs w:val="20"/>
              </w:rPr>
              <w:t>Pozitívne</w:t>
            </w:r>
          </w:p>
        </w:tc>
        <w:tc>
          <w:tcPr>
            <w:tcW w:w="538" w:type="dxa"/>
            <w:tcBorders>
              <w:top w:val="single" w:sz="4" w:space="0" w:color="000000"/>
              <w:left w:val="nil"/>
              <w:bottom w:val="single" w:sz="4" w:space="0" w:color="000000"/>
              <w:right w:val="nil"/>
            </w:tcBorders>
            <w:vAlign w:val="center"/>
          </w:tcPr>
          <w:p w14:paraId="00000252" w14:textId="77777777" w:rsidR="00B64B7D" w:rsidRDefault="00742C7F">
            <w:pPr>
              <w:jc w:val="center"/>
              <w:rPr>
                <w:rFonts w:ascii="Times New Roman" w:eastAsia="Times New Roman" w:hAnsi="Times New Roman" w:cs="Times New Roman"/>
                <w:b/>
                <w:sz w:val="20"/>
                <w:szCs w:val="20"/>
              </w:rPr>
            </w:pPr>
            <w:r>
              <w:rPr>
                <w:rFonts w:ascii="MS Gothic" w:eastAsia="MS Gothic" w:hAnsi="MS Gothic" w:cs="MS Gothic"/>
                <w:b/>
                <w:sz w:val="20"/>
                <w:szCs w:val="20"/>
              </w:rPr>
              <w:t>☒</w:t>
            </w:r>
          </w:p>
        </w:tc>
        <w:tc>
          <w:tcPr>
            <w:tcW w:w="1133" w:type="dxa"/>
            <w:tcBorders>
              <w:top w:val="single" w:sz="4" w:space="0" w:color="000000"/>
              <w:left w:val="nil"/>
              <w:bottom w:val="single" w:sz="4" w:space="0" w:color="000000"/>
              <w:right w:val="nil"/>
            </w:tcBorders>
            <w:vAlign w:val="center"/>
          </w:tcPr>
          <w:p w14:paraId="00000253" w14:textId="77777777" w:rsidR="00B64B7D" w:rsidRDefault="00742C7F">
            <w:pPr>
              <w:rPr>
                <w:rFonts w:ascii="Times New Roman" w:eastAsia="Times New Roman" w:hAnsi="Times New Roman" w:cs="Times New Roman"/>
                <w:b/>
                <w:sz w:val="20"/>
                <w:szCs w:val="20"/>
              </w:rPr>
            </w:pPr>
            <w:r>
              <w:rPr>
                <w:rFonts w:ascii="Times New Roman" w:eastAsia="Times New Roman" w:hAnsi="Times New Roman" w:cs="Times New Roman"/>
                <w:b/>
                <w:sz w:val="20"/>
                <w:szCs w:val="20"/>
              </w:rPr>
              <w:t>Žiadne</w:t>
            </w:r>
          </w:p>
        </w:tc>
        <w:tc>
          <w:tcPr>
            <w:tcW w:w="547" w:type="dxa"/>
            <w:tcBorders>
              <w:top w:val="single" w:sz="4" w:space="0" w:color="000000"/>
              <w:left w:val="nil"/>
              <w:bottom w:val="single" w:sz="4" w:space="0" w:color="000000"/>
              <w:right w:val="nil"/>
            </w:tcBorders>
            <w:vAlign w:val="center"/>
          </w:tcPr>
          <w:p w14:paraId="00000254" w14:textId="77777777" w:rsidR="00B64B7D" w:rsidRDefault="00742C7F">
            <w:pPr>
              <w:jc w:val="center"/>
              <w:rPr>
                <w:rFonts w:ascii="Times New Roman" w:eastAsia="Times New Roman" w:hAnsi="Times New Roman" w:cs="Times New Roman"/>
                <w:b/>
                <w:sz w:val="20"/>
                <w:szCs w:val="20"/>
              </w:rPr>
            </w:pPr>
            <w:r>
              <w:rPr>
                <w:rFonts w:ascii="MS Gothic" w:eastAsia="MS Gothic" w:hAnsi="MS Gothic" w:cs="MS Gothic"/>
                <w:b/>
                <w:sz w:val="20"/>
                <w:szCs w:val="20"/>
              </w:rPr>
              <w:t>☐</w:t>
            </w:r>
          </w:p>
        </w:tc>
        <w:tc>
          <w:tcPr>
            <w:tcW w:w="1297" w:type="dxa"/>
            <w:tcBorders>
              <w:top w:val="single" w:sz="4" w:space="0" w:color="000000"/>
              <w:left w:val="nil"/>
              <w:bottom w:val="single" w:sz="4" w:space="0" w:color="000000"/>
              <w:right w:val="single" w:sz="4" w:space="0" w:color="000000"/>
            </w:tcBorders>
            <w:vAlign w:val="center"/>
          </w:tcPr>
          <w:p w14:paraId="00000255" w14:textId="77777777" w:rsidR="00B64B7D" w:rsidRDefault="00742C7F">
            <w:pPr>
              <w:ind w:left="54"/>
              <w:rPr>
                <w:rFonts w:ascii="Times New Roman" w:eastAsia="Times New Roman" w:hAnsi="Times New Roman" w:cs="Times New Roman"/>
                <w:b/>
                <w:sz w:val="20"/>
                <w:szCs w:val="20"/>
              </w:rPr>
            </w:pPr>
            <w:r>
              <w:rPr>
                <w:rFonts w:ascii="Times New Roman" w:eastAsia="Times New Roman" w:hAnsi="Times New Roman" w:cs="Times New Roman"/>
                <w:b/>
                <w:sz w:val="20"/>
                <w:szCs w:val="20"/>
              </w:rPr>
              <w:t>Negatívne</w:t>
            </w:r>
          </w:p>
        </w:tc>
      </w:tr>
    </w:tbl>
    <w:p w14:paraId="00000256" w14:textId="77777777" w:rsidR="00B64B7D" w:rsidRDefault="00B64B7D">
      <w:pPr>
        <w:spacing w:after="0" w:line="240" w:lineRule="auto"/>
        <w:ind w:right="141"/>
        <w:rPr>
          <w:rFonts w:ascii="Times New Roman" w:eastAsia="Times New Roman" w:hAnsi="Times New Roman" w:cs="Times New Roman"/>
          <w:b/>
          <w:sz w:val="20"/>
          <w:szCs w:val="20"/>
        </w:rPr>
      </w:pPr>
    </w:p>
    <w:tbl>
      <w:tblPr>
        <w:tblStyle w:val="a3"/>
        <w:tblW w:w="917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176"/>
      </w:tblGrid>
      <w:tr w:rsidR="00B64B7D" w14:paraId="74F9A8C1" w14:textId="77777777">
        <w:tc>
          <w:tcPr>
            <w:tcW w:w="9176" w:type="dxa"/>
            <w:tcBorders>
              <w:top w:val="single" w:sz="4" w:space="0" w:color="000000"/>
              <w:left w:val="single" w:sz="4" w:space="0" w:color="000000"/>
              <w:bottom w:val="nil"/>
              <w:right w:val="single" w:sz="4" w:space="0" w:color="000000"/>
            </w:tcBorders>
            <w:shd w:val="clear" w:color="auto" w:fill="E2E2E2"/>
          </w:tcPr>
          <w:p w14:paraId="00000257" w14:textId="77777777" w:rsidR="00B64B7D" w:rsidRDefault="00742C7F">
            <w:pPr>
              <w:numPr>
                <w:ilvl w:val="0"/>
                <w:numId w:val="1"/>
              </w:numPr>
              <w:ind w:left="426"/>
              <w:rPr>
                <w:rFonts w:ascii="Times New Roman" w:eastAsia="Times New Roman" w:hAnsi="Times New Roman" w:cs="Times New Roman"/>
                <w:b/>
              </w:rPr>
            </w:pPr>
            <w:r>
              <w:rPr>
                <w:rFonts w:ascii="Times New Roman" w:eastAsia="Times New Roman" w:hAnsi="Times New Roman" w:cs="Times New Roman"/>
                <w:b/>
              </w:rPr>
              <w:t>Poznámky</w:t>
            </w:r>
          </w:p>
        </w:tc>
      </w:tr>
      <w:tr w:rsidR="00B64B7D" w14:paraId="313AF243" w14:textId="77777777">
        <w:trPr>
          <w:trHeight w:val="713"/>
        </w:trPr>
        <w:tc>
          <w:tcPr>
            <w:tcW w:w="9176" w:type="dxa"/>
            <w:tcBorders>
              <w:top w:val="nil"/>
              <w:left w:val="single" w:sz="4" w:space="0" w:color="000000"/>
              <w:bottom w:val="single" w:sz="4" w:space="0" w:color="FFFFFF"/>
              <w:right w:val="single" w:sz="4" w:space="0" w:color="000000"/>
            </w:tcBorders>
          </w:tcPr>
          <w:p w14:paraId="00000258" w14:textId="77777777" w:rsidR="00B64B7D" w:rsidRDefault="00B64B7D">
            <w:pPr>
              <w:jc w:val="both"/>
              <w:rPr>
                <w:rFonts w:ascii="Times New Roman" w:eastAsia="Times New Roman" w:hAnsi="Times New Roman" w:cs="Times New Roman"/>
                <w:i/>
                <w:sz w:val="20"/>
                <w:szCs w:val="20"/>
              </w:rPr>
            </w:pPr>
          </w:p>
          <w:p w14:paraId="00000259" w14:textId="77777777" w:rsidR="00B64B7D" w:rsidRDefault="00742C7F">
            <w:p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V súlade s návrhom zákona, ktorým sa mení a dopĺňa zákon č. 355/2007 Z. z., sa ustanovuje oznamovacia povinnosť pre zamestnávateľa, ktorý je držiteľ oprávnenia. Uvedená povinnosť sa vzťahuje na všetky práce súvisiace s akoukoľvek činnosťou, pri ktorej by mohli byť zamestnanci exponovaní prachu z azbestu alebo materiálov obsahujúcich azbest. Náklady súvisiace s oznamovacou povinnosťou sú vyčíslené v návrhu nariadenia vlády Slovenskej republiky, ktorým sa mení nariadenie vlády Slovenskej republiky č. 355/2006 Z. z. o ochrane zamestnancov pred rizikami súvisiacimi s expozíciou chemickým faktorom pri práci v znení neskorších predpisov, ktorý je v legislatívnom procese. </w:t>
            </w:r>
          </w:p>
          <w:p w14:paraId="0000025A" w14:textId="77777777" w:rsidR="00B64B7D" w:rsidRDefault="00B64B7D">
            <w:p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p>
          <w:p w14:paraId="0000025B" w14:textId="77777777" w:rsidR="00B64B7D" w:rsidRDefault="00742C7F">
            <w:p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Do § 30 ods. 1 písm. f) návrhu zákona, ktorým sa mení a dopĺňa zákon č. 355/2007 Z. z., sa dopĺňa povinnosť zabezpečiť posúdenie zdravotnej spôsobilosti na prácu aj pre fyzické osoby, ktoré sa uchádzajú o zamestnanie (uchádzač o zamestnanie), u ktorých je vyžadovaná zdravotná spôsobilosť na prácu (teda nie vždy, ale napríklad pri rizikových prácach alebo podľa osobitých predpisov), vrátane úhrady nákladov zamestnávateľom. Táto povinnosť je už </w:t>
            </w:r>
            <w:r>
              <w:rPr>
                <w:rFonts w:ascii="Times New Roman" w:eastAsia="Times New Roman" w:hAnsi="Times New Roman" w:cs="Times New Roman"/>
                <w:color w:val="000000"/>
                <w:sz w:val="24"/>
                <w:szCs w:val="24"/>
              </w:rPr>
              <w:lastRenderedPageBreak/>
              <w:t>stanovená aj v § 30e) aktuálne platného zákona č. 355/2007 Z. z. Z tohto dôvodu nie je táto povinnosť uvedená v Analýze vplyvov na podnikateľské prostredie k predmetnému návrhu.</w:t>
            </w:r>
          </w:p>
          <w:p w14:paraId="0000025C" w14:textId="77777777" w:rsidR="00B64B7D" w:rsidRDefault="00B64B7D">
            <w:pPr>
              <w:pBdr>
                <w:top w:val="nil"/>
                <w:left w:val="nil"/>
                <w:bottom w:val="nil"/>
                <w:right w:val="nil"/>
                <w:between w:val="nil"/>
              </w:pBdr>
              <w:spacing w:line="276" w:lineRule="auto"/>
              <w:jc w:val="both"/>
              <w:rPr>
                <w:rFonts w:ascii="Times New Roman" w:eastAsia="Times New Roman" w:hAnsi="Times New Roman" w:cs="Times New Roman"/>
                <w:color w:val="000000"/>
                <w:sz w:val="24"/>
                <w:szCs w:val="24"/>
              </w:rPr>
            </w:pPr>
          </w:p>
          <w:sdt>
            <w:sdtPr>
              <w:tag w:val="goog_rdk_36"/>
              <w:id w:val="1478360344"/>
            </w:sdtPr>
            <w:sdtContent>
              <w:p w14:paraId="0000025E" w14:textId="77777777" w:rsidR="00B64B7D" w:rsidRPr="0075775F" w:rsidRDefault="00000000">
                <w:pPr>
                  <w:pBdr>
                    <w:top w:val="nil"/>
                    <w:left w:val="nil"/>
                    <w:bottom w:val="nil"/>
                    <w:right w:val="nil"/>
                    <w:between w:val="nil"/>
                  </w:pBdr>
                  <w:spacing w:before="240" w:line="276" w:lineRule="auto"/>
                  <w:jc w:val="both"/>
                  <w:rPr>
                    <w:rFonts w:ascii="Times New Roman" w:eastAsia="Times New Roman" w:hAnsi="Times New Roman" w:cs="Times New Roman"/>
                    <w:sz w:val="24"/>
                    <w:szCs w:val="24"/>
                  </w:rPr>
                </w:pPr>
                <w:sdt>
                  <w:sdtPr>
                    <w:tag w:val="goog_rdk_34"/>
                    <w:id w:val="1279564982"/>
                  </w:sdtPr>
                  <w:sdtContent>
                    <w:sdt>
                      <w:sdtPr>
                        <w:tag w:val="goog_rdk_35"/>
                        <w:id w:val="46440210"/>
                      </w:sdtPr>
                      <w:sdtContent>
                        <w:r w:rsidR="00742C7F" w:rsidRPr="0075775F">
                          <w:rPr>
                            <w:rFonts w:ascii="Times New Roman" w:eastAsia="Times New Roman" w:hAnsi="Times New Roman" w:cs="Times New Roman"/>
                            <w:sz w:val="24"/>
                            <w:szCs w:val="24"/>
                          </w:rPr>
                          <w:t xml:space="preserve">Predpokladaný negatívny vplyv na rozpočet verejnej správy, ktorý by mohol vzniknúť v súvislosti s povinnosťou prevádzkovateľa zariadenia pre deti a mládež zbierať a spracovávať údaje nevyhnutné na účely urýchleného prijatia </w:t>
                        </w:r>
                        <w:proofErr w:type="spellStart"/>
                        <w:r w:rsidR="00742C7F" w:rsidRPr="0075775F">
                          <w:rPr>
                            <w:rFonts w:ascii="Times New Roman" w:eastAsia="Times New Roman" w:hAnsi="Times New Roman" w:cs="Times New Roman"/>
                            <w:sz w:val="24"/>
                            <w:szCs w:val="24"/>
                          </w:rPr>
                          <w:t>protiepidemických</w:t>
                        </w:r>
                        <w:proofErr w:type="spellEnd"/>
                        <w:r w:rsidR="00742C7F" w:rsidRPr="0075775F">
                          <w:rPr>
                            <w:rFonts w:ascii="Times New Roman" w:eastAsia="Times New Roman" w:hAnsi="Times New Roman" w:cs="Times New Roman"/>
                            <w:sz w:val="24"/>
                            <w:szCs w:val="24"/>
                          </w:rPr>
                          <w:t xml:space="preserve"> opatrení (§ 24 ods. 1 písm. a) zákona), bude Ministerstvo školstva, výskumu, vývoja a mládeže Slovenskej republiky riešiť v rámci aktuálne prebiehajúcej novely zákona č. 245/2008 Z. z. (školský zákon).</w:t>
                        </w:r>
                      </w:sdtContent>
                    </w:sdt>
                  </w:sdtContent>
                </w:sdt>
              </w:p>
            </w:sdtContent>
          </w:sdt>
          <w:p w14:paraId="0000025F" w14:textId="2AFDB736" w:rsidR="00B64B7D" w:rsidRDefault="00742C7F">
            <w:pPr>
              <w:pBdr>
                <w:top w:val="nil"/>
                <w:left w:val="nil"/>
                <w:bottom w:val="nil"/>
                <w:right w:val="nil"/>
                <w:between w:val="nil"/>
              </w:pBdr>
              <w:spacing w:before="240"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Predložený návrh zákona má negatívny vplyv na rozpočet verejnej správy, pozitívne  a negatívne sociálne vplyvy, pozitívny vplyv na informatizáciu spoločnosti, nemá vplyv na životné prostredie, na služby verejnej správy pre občana. Predpokladá sa pozitívny aj negatívny vplyv na podnikateľské prostredie. Návrh zákona nemá vplyv na manželstvo, rodičovstvo a rodinu.</w:t>
            </w:r>
          </w:p>
          <w:p w14:paraId="00000260" w14:textId="77777777" w:rsidR="00B64B7D" w:rsidRDefault="00B64B7D">
            <w:pPr>
              <w:pBdr>
                <w:top w:val="nil"/>
                <w:left w:val="nil"/>
                <w:bottom w:val="nil"/>
                <w:right w:val="nil"/>
                <w:between w:val="nil"/>
              </w:pBdr>
              <w:spacing w:before="240"/>
              <w:jc w:val="both"/>
              <w:rPr>
                <w:rFonts w:ascii="Times New Roman" w:eastAsia="Times New Roman" w:hAnsi="Times New Roman" w:cs="Times New Roman"/>
                <w:color w:val="000000"/>
                <w:sz w:val="24"/>
                <w:szCs w:val="24"/>
              </w:rPr>
            </w:pPr>
          </w:p>
        </w:tc>
      </w:tr>
      <w:tr w:rsidR="00B64B7D" w14:paraId="3D6CCE8E" w14:textId="77777777">
        <w:tc>
          <w:tcPr>
            <w:tcW w:w="9176" w:type="dxa"/>
            <w:tcBorders>
              <w:top w:val="single" w:sz="4" w:space="0" w:color="000000"/>
              <w:left w:val="single" w:sz="4" w:space="0" w:color="000000"/>
              <w:bottom w:val="single" w:sz="4" w:space="0" w:color="FFFFFF"/>
              <w:right w:val="single" w:sz="4" w:space="0" w:color="000000"/>
            </w:tcBorders>
            <w:shd w:val="clear" w:color="auto" w:fill="E2E2E2"/>
          </w:tcPr>
          <w:p w14:paraId="00000261" w14:textId="77777777" w:rsidR="00B64B7D" w:rsidRDefault="00742C7F">
            <w:pPr>
              <w:numPr>
                <w:ilvl w:val="0"/>
                <w:numId w:val="1"/>
              </w:numPr>
              <w:ind w:left="426"/>
              <w:rPr>
                <w:rFonts w:ascii="Times New Roman" w:eastAsia="Times New Roman" w:hAnsi="Times New Roman" w:cs="Times New Roman"/>
                <w:b/>
              </w:rPr>
            </w:pPr>
            <w:r>
              <w:rPr>
                <w:rFonts w:ascii="Times New Roman" w:eastAsia="Times New Roman" w:hAnsi="Times New Roman" w:cs="Times New Roman"/>
                <w:b/>
              </w:rPr>
              <w:lastRenderedPageBreak/>
              <w:t>Kontakt na spracovateľa</w:t>
            </w:r>
          </w:p>
        </w:tc>
      </w:tr>
      <w:tr w:rsidR="00B64B7D" w14:paraId="123CEBBD" w14:textId="77777777">
        <w:trPr>
          <w:trHeight w:val="586"/>
        </w:trPr>
        <w:tc>
          <w:tcPr>
            <w:tcW w:w="9176" w:type="dxa"/>
            <w:tcBorders>
              <w:top w:val="single" w:sz="4" w:space="0" w:color="FFFFFF"/>
              <w:left w:val="single" w:sz="4" w:space="0" w:color="000000"/>
              <w:bottom w:val="single" w:sz="4" w:space="0" w:color="000000"/>
              <w:right w:val="single" w:sz="4" w:space="0" w:color="000000"/>
            </w:tcBorders>
            <w:shd w:val="clear" w:color="auto" w:fill="FFFFFF"/>
          </w:tcPr>
          <w:p w14:paraId="00000262" w14:textId="77777777" w:rsidR="00B64B7D" w:rsidRDefault="00742C7F">
            <w:pPr>
              <w:spacing w:line="276" w:lineRule="auto"/>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Úrad verejného zdravotníctva SR</w:t>
            </w:r>
          </w:p>
          <w:p w14:paraId="00000263" w14:textId="77777777" w:rsidR="00B64B7D" w:rsidRDefault="00742C7F">
            <w:p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Ing. Anna Nosková</w:t>
            </w:r>
          </w:p>
          <w:p w14:paraId="00000264" w14:textId="77777777" w:rsidR="00B64B7D" w:rsidRDefault="00742C7F">
            <w:p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Vedúca sekcie financovania, rozpočtu a prevádzky</w:t>
            </w:r>
          </w:p>
          <w:p w14:paraId="00000265" w14:textId="77777777" w:rsidR="00B64B7D" w:rsidRDefault="00742C7F">
            <w:p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tel.: + 421 2 49 284 282 </w:t>
            </w:r>
          </w:p>
          <w:p w14:paraId="00000266" w14:textId="77777777" w:rsidR="00B64B7D" w:rsidRDefault="00742C7F">
            <w:pPr>
              <w:spacing w:line="276" w:lineRule="auto"/>
            </w:pPr>
            <w:hyperlink r:id="rId12">
              <w:r>
                <w:rPr>
                  <w:rFonts w:ascii="Times New Roman" w:eastAsia="Times New Roman" w:hAnsi="Times New Roman" w:cs="Times New Roman"/>
                  <w:color w:val="0563C1"/>
                  <w:sz w:val="24"/>
                  <w:szCs w:val="24"/>
                  <w:u w:val="single"/>
                </w:rPr>
                <w:t>dolozka355@uvzsr.sk</w:t>
              </w:r>
            </w:hyperlink>
          </w:p>
          <w:p w14:paraId="00000267" w14:textId="77777777" w:rsidR="00B64B7D" w:rsidRDefault="00B64B7D">
            <w:pPr>
              <w:spacing w:line="276" w:lineRule="auto"/>
              <w:rPr>
                <w:rFonts w:ascii="Times New Roman" w:eastAsia="Times New Roman" w:hAnsi="Times New Roman" w:cs="Times New Roman"/>
                <w:sz w:val="24"/>
                <w:szCs w:val="24"/>
                <w:u w:val="single"/>
              </w:rPr>
            </w:pPr>
          </w:p>
          <w:p w14:paraId="00000268" w14:textId="77777777" w:rsidR="00B64B7D" w:rsidRDefault="00742C7F">
            <w:p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Mgr. Miroslava Hrčková</w:t>
            </w:r>
          </w:p>
          <w:p w14:paraId="00000269" w14:textId="77777777" w:rsidR="00B64B7D" w:rsidRDefault="00742C7F">
            <w:p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Hlavný radca</w:t>
            </w:r>
          </w:p>
          <w:p w14:paraId="0000026A" w14:textId="77777777" w:rsidR="00B64B7D" w:rsidRDefault="00742C7F">
            <w:p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Odbor preventívneho pracovného lekárstva</w:t>
            </w:r>
          </w:p>
          <w:p w14:paraId="0000026B" w14:textId="77777777" w:rsidR="00B64B7D" w:rsidRDefault="00742C7F">
            <w:p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tel.: + 421 2 49 284 248</w:t>
            </w:r>
          </w:p>
          <w:p w14:paraId="0000026C" w14:textId="77777777" w:rsidR="00B64B7D" w:rsidRDefault="00742C7F">
            <w:pPr>
              <w:spacing w:line="276" w:lineRule="auto"/>
            </w:pPr>
            <w:hyperlink r:id="rId13">
              <w:r>
                <w:rPr>
                  <w:rFonts w:ascii="Times New Roman" w:eastAsia="Times New Roman" w:hAnsi="Times New Roman" w:cs="Times New Roman"/>
                  <w:color w:val="0563C1"/>
                  <w:sz w:val="24"/>
                  <w:szCs w:val="24"/>
                  <w:u w:val="single"/>
                </w:rPr>
                <w:t>dolozka355@uvzsr.sk</w:t>
              </w:r>
            </w:hyperlink>
          </w:p>
          <w:p w14:paraId="0000026D" w14:textId="77777777" w:rsidR="00B64B7D" w:rsidRDefault="00B64B7D">
            <w:pPr>
              <w:spacing w:line="276" w:lineRule="auto"/>
              <w:rPr>
                <w:rFonts w:ascii="Times New Roman" w:eastAsia="Times New Roman" w:hAnsi="Times New Roman" w:cs="Times New Roman"/>
                <w:sz w:val="20"/>
                <w:szCs w:val="20"/>
              </w:rPr>
            </w:pPr>
          </w:p>
        </w:tc>
      </w:tr>
      <w:tr w:rsidR="00B64B7D" w14:paraId="462C7672" w14:textId="77777777">
        <w:tc>
          <w:tcPr>
            <w:tcW w:w="9176" w:type="dxa"/>
            <w:tcBorders>
              <w:top w:val="single" w:sz="4" w:space="0" w:color="000000"/>
              <w:left w:val="single" w:sz="4" w:space="0" w:color="000000"/>
              <w:bottom w:val="single" w:sz="4" w:space="0" w:color="FFFFFF"/>
              <w:right w:val="single" w:sz="4" w:space="0" w:color="000000"/>
            </w:tcBorders>
            <w:shd w:val="clear" w:color="auto" w:fill="E2E2E2"/>
          </w:tcPr>
          <w:p w14:paraId="0000026E" w14:textId="77777777" w:rsidR="00B64B7D" w:rsidRDefault="00742C7F">
            <w:pPr>
              <w:numPr>
                <w:ilvl w:val="0"/>
                <w:numId w:val="1"/>
              </w:numPr>
              <w:ind w:left="426"/>
              <w:rPr>
                <w:rFonts w:ascii="Times New Roman" w:eastAsia="Times New Roman" w:hAnsi="Times New Roman" w:cs="Times New Roman"/>
                <w:b/>
              </w:rPr>
            </w:pPr>
            <w:r>
              <w:rPr>
                <w:rFonts w:ascii="Times New Roman" w:eastAsia="Times New Roman" w:hAnsi="Times New Roman" w:cs="Times New Roman"/>
                <w:b/>
              </w:rPr>
              <w:t>Zdroje</w:t>
            </w:r>
          </w:p>
        </w:tc>
      </w:tr>
      <w:tr w:rsidR="00B64B7D" w14:paraId="32C8C383" w14:textId="77777777">
        <w:trPr>
          <w:trHeight w:val="401"/>
        </w:trPr>
        <w:tc>
          <w:tcPr>
            <w:tcW w:w="9176" w:type="dxa"/>
            <w:tcBorders>
              <w:top w:val="single" w:sz="4" w:space="0" w:color="FFFFFF"/>
              <w:left w:val="single" w:sz="4" w:space="0" w:color="000000"/>
              <w:bottom w:val="single" w:sz="4" w:space="0" w:color="000000"/>
              <w:right w:val="single" w:sz="4" w:space="0" w:color="000000"/>
            </w:tcBorders>
            <w:shd w:val="clear" w:color="auto" w:fill="FFFFFF"/>
          </w:tcPr>
          <w:p w14:paraId="0000026F" w14:textId="77777777" w:rsidR="00B64B7D" w:rsidRDefault="00742C7F">
            <w:pPr>
              <w:numPr>
                <w:ilvl w:val="0"/>
                <w:numId w:val="3"/>
              </w:numPr>
              <w:pBdr>
                <w:top w:val="nil"/>
                <w:left w:val="nil"/>
                <w:bottom w:val="nil"/>
                <w:right w:val="nil"/>
                <w:between w:val="nil"/>
              </w:pBdr>
              <w:spacing w:line="259"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Štatistický úrad SR: Úplné náklady práce, dostupné na: &lt; </w:t>
            </w:r>
            <w:hyperlink r:id="rId14" w:anchor="!/view/sk/VBD_SLOVSTAT/np2008rs/v_np2008rs_00_00_00_sk">
              <w:r>
                <w:rPr>
                  <w:rFonts w:ascii="Times New Roman" w:eastAsia="Times New Roman" w:hAnsi="Times New Roman" w:cs="Times New Roman"/>
                  <w:color w:val="0563C1"/>
                  <w:sz w:val="24"/>
                  <w:szCs w:val="24"/>
                  <w:u w:val="single"/>
                </w:rPr>
                <w:t>https://datacube.statistics.sk/?fbclid=IwAR2K14kXrSgRjgtf8BSgINteeiX2adI0JPJlSSw7873#!/view/sk/VBD_SLOVSTAT/np2008rs/v_np2008rs_00_00_00_sk</w:t>
              </w:r>
            </w:hyperlink>
            <w:r>
              <w:rPr>
                <w:rFonts w:ascii="Times New Roman" w:eastAsia="Times New Roman" w:hAnsi="Times New Roman" w:cs="Times New Roman"/>
                <w:color w:val="000000"/>
                <w:sz w:val="24"/>
                <w:szCs w:val="24"/>
              </w:rPr>
              <w:t>&gt;</w:t>
            </w:r>
          </w:p>
          <w:p w14:paraId="00000270" w14:textId="77777777" w:rsidR="00B64B7D" w:rsidRDefault="00742C7F">
            <w:pPr>
              <w:numPr>
                <w:ilvl w:val="0"/>
                <w:numId w:val="3"/>
              </w:numPr>
              <w:pBdr>
                <w:top w:val="nil"/>
                <w:left w:val="nil"/>
                <w:bottom w:val="nil"/>
                <w:right w:val="nil"/>
                <w:between w:val="nil"/>
              </w:pBdr>
              <w:spacing w:line="259" w:lineRule="auto"/>
              <w:jc w:val="both"/>
              <w:rPr>
                <w:rFonts w:ascii="Times New Roman" w:eastAsia="Times New Roman" w:hAnsi="Times New Roman" w:cs="Times New Roman"/>
                <w:i/>
                <w:color w:val="000000"/>
                <w:sz w:val="24"/>
                <w:szCs w:val="24"/>
              </w:rPr>
            </w:pPr>
            <w:r>
              <w:rPr>
                <w:rFonts w:ascii="Times New Roman" w:eastAsia="Times New Roman" w:hAnsi="Times New Roman" w:cs="Times New Roman"/>
                <w:color w:val="000000"/>
                <w:sz w:val="24"/>
                <w:szCs w:val="24"/>
              </w:rPr>
              <w:t>ASTR - centrálny register rizikových prác</w:t>
            </w:r>
          </w:p>
          <w:p w14:paraId="00000271" w14:textId="77777777" w:rsidR="00B64B7D" w:rsidRDefault="00742C7F">
            <w:pPr>
              <w:numPr>
                <w:ilvl w:val="0"/>
                <w:numId w:val="3"/>
              </w:numPr>
              <w:pBdr>
                <w:top w:val="nil"/>
                <w:left w:val="nil"/>
                <w:bottom w:val="nil"/>
                <w:right w:val="nil"/>
                <w:between w:val="nil"/>
              </w:pBdr>
              <w:spacing w:line="259"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Zoznam fyzických osôb – podnikateľov a právnických osôb, ktorým bolo vydané, odobraté alebo zmenené oprávnenie na odstraňovanie azbestu alebo materiálov obsahujúcich azbest zo stavieb, dostupné na &lt;</w:t>
            </w:r>
            <w:hyperlink r:id="rId15">
              <w:r>
                <w:rPr>
                  <w:rFonts w:ascii="Times New Roman" w:eastAsia="Times New Roman" w:hAnsi="Times New Roman" w:cs="Times New Roman"/>
                  <w:color w:val="0563C1"/>
                  <w:sz w:val="24"/>
                  <w:szCs w:val="24"/>
                  <w:u w:val="single"/>
                </w:rPr>
                <w:t>https://www.uvzsr.sk/web/uvz/zoznam-fyzickych-osob-podnikatelov-a-pravnickych-osob-ktorym-bolo-vydane-odobrate-alebo-zmenene-opravnenie-na-odstranovanie-azbestu-alebo-materialov-obsahujucich-azbest-zo-stavieb</w:t>
              </w:r>
            </w:hyperlink>
            <w:r>
              <w:rPr>
                <w:rFonts w:ascii="Times New Roman" w:eastAsia="Times New Roman" w:hAnsi="Times New Roman" w:cs="Times New Roman"/>
                <w:color w:val="000000"/>
                <w:sz w:val="24"/>
                <w:szCs w:val="24"/>
              </w:rPr>
              <w:t>&gt;</w:t>
            </w:r>
          </w:p>
          <w:p w14:paraId="00000272" w14:textId="77777777" w:rsidR="00B64B7D" w:rsidRDefault="00742C7F">
            <w:pPr>
              <w:numPr>
                <w:ilvl w:val="0"/>
                <w:numId w:val="3"/>
              </w:numPr>
              <w:pBdr>
                <w:top w:val="nil"/>
                <w:left w:val="nil"/>
                <w:bottom w:val="nil"/>
                <w:right w:val="nil"/>
                <w:between w:val="nil"/>
              </w:pBdr>
              <w:spacing w:line="259"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Komplexný audit povinností MSP v oblasti BOZP, Slovak Business </w:t>
            </w:r>
            <w:proofErr w:type="spellStart"/>
            <w:r>
              <w:rPr>
                <w:rFonts w:ascii="Times New Roman" w:eastAsia="Times New Roman" w:hAnsi="Times New Roman" w:cs="Times New Roman"/>
                <w:color w:val="000000"/>
                <w:sz w:val="24"/>
                <w:szCs w:val="24"/>
              </w:rPr>
              <w:t>Agency</w:t>
            </w:r>
            <w:proofErr w:type="spellEnd"/>
            <w:r>
              <w:rPr>
                <w:rFonts w:ascii="Times New Roman" w:eastAsia="Times New Roman" w:hAnsi="Times New Roman" w:cs="Times New Roman"/>
                <w:color w:val="000000"/>
                <w:sz w:val="24"/>
                <w:szCs w:val="24"/>
              </w:rPr>
              <w:t xml:space="preserve"> 2022, dostupné na &lt; </w:t>
            </w:r>
            <w:hyperlink r:id="rId16">
              <w:r>
                <w:rPr>
                  <w:rFonts w:ascii="Times New Roman" w:eastAsia="Times New Roman" w:hAnsi="Times New Roman" w:cs="Times New Roman"/>
                  <w:color w:val="0563C1"/>
                  <w:sz w:val="24"/>
                  <w:szCs w:val="24"/>
                  <w:u w:val="single"/>
                </w:rPr>
                <w:t>https://www.sbagency.sk/sites/default/files/komplexny_audit_povinnosti_msp_v_oblasti_bozp.pdf</w:t>
              </w:r>
            </w:hyperlink>
            <w:r>
              <w:rPr>
                <w:rFonts w:ascii="Times New Roman" w:eastAsia="Times New Roman" w:hAnsi="Times New Roman" w:cs="Times New Roman"/>
                <w:color w:val="000000"/>
                <w:sz w:val="24"/>
                <w:szCs w:val="24"/>
              </w:rPr>
              <w:t>&gt;</w:t>
            </w:r>
          </w:p>
          <w:p w14:paraId="00000273" w14:textId="77777777" w:rsidR="00B64B7D" w:rsidRDefault="00742C7F">
            <w:pPr>
              <w:numPr>
                <w:ilvl w:val="0"/>
                <w:numId w:val="3"/>
              </w:numPr>
              <w:pBdr>
                <w:top w:val="nil"/>
                <w:left w:val="nil"/>
                <w:bottom w:val="nil"/>
                <w:right w:val="nil"/>
                <w:between w:val="nil"/>
              </w:pBdr>
              <w:spacing w:line="259"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Výročná správa o činnosti úradov verejného zdravotníctva podľa jednotlivých odborov verejného zdravotníctva za rok 2023, dostupné na&lt;</w:t>
            </w:r>
            <w:hyperlink r:id="rId17">
              <w:r>
                <w:rPr>
                  <w:rFonts w:ascii="Times New Roman" w:eastAsia="Times New Roman" w:hAnsi="Times New Roman" w:cs="Times New Roman"/>
                  <w:color w:val="0563C1"/>
                  <w:sz w:val="24"/>
                  <w:szCs w:val="24"/>
                  <w:u w:val="single"/>
                </w:rPr>
                <w:t>https://www.uvzsr.sk/documents/d/uvz/vs-ruvz-za-rok-2023-final-pdf</w:t>
              </w:r>
            </w:hyperlink>
            <w:r>
              <w:rPr>
                <w:rFonts w:ascii="Times New Roman" w:eastAsia="Times New Roman" w:hAnsi="Times New Roman" w:cs="Times New Roman"/>
                <w:color w:val="000000"/>
                <w:sz w:val="24"/>
                <w:szCs w:val="24"/>
              </w:rPr>
              <w:t xml:space="preserve">&gt; </w:t>
            </w:r>
          </w:p>
          <w:p w14:paraId="00000274" w14:textId="77777777" w:rsidR="00B64B7D" w:rsidRDefault="00742C7F">
            <w:pPr>
              <w:numPr>
                <w:ilvl w:val="0"/>
                <w:numId w:val="3"/>
              </w:numPr>
              <w:pBdr>
                <w:top w:val="nil"/>
                <w:left w:val="nil"/>
                <w:bottom w:val="nil"/>
                <w:right w:val="nil"/>
                <w:between w:val="nil"/>
              </w:pBdr>
              <w:spacing w:after="160" w:line="259"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Štatistický úrad Slovenskej republiky, </w:t>
            </w:r>
            <w:proofErr w:type="spellStart"/>
            <w:r>
              <w:rPr>
                <w:rFonts w:ascii="Times New Roman" w:eastAsia="Times New Roman" w:hAnsi="Times New Roman" w:cs="Times New Roman"/>
                <w:color w:val="000000"/>
                <w:sz w:val="24"/>
                <w:szCs w:val="24"/>
              </w:rPr>
              <w:t>DATAcube</w:t>
            </w:r>
            <w:proofErr w:type="spellEnd"/>
            <w:r>
              <w:rPr>
                <w:rFonts w:ascii="Times New Roman" w:eastAsia="Times New Roman" w:hAnsi="Times New Roman" w:cs="Times New Roman"/>
                <w:color w:val="000000"/>
                <w:sz w:val="24"/>
                <w:szCs w:val="24"/>
              </w:rPr>
              <w:t xml:space="preserve">, dostupné na &lt; </w:t>
            </w:r>
            <w:hyperlink r:id="rId18" w:anchor="!/view/sk/vbd_sk_win2/og1803rs/v_og1803rs_00_00_00_sk">
              <w:r>
                <w:rPr>
                  <w:rFonts w:ascii="Times New Roman" w:eastAsia="Times New Roman" w:hAnsi="Times New Roman" w:cs="Times New Roman"/>
                  <w:color w:val="0563C1"/>
                  <w:sz w:val="24"/>
                  <w:szCs w:val="24"/>
                  <w:u w:val="single"/>
                </w:rPr>
                <w:t>https://datacube.statistics.sk/#!/view/sk/vbd_sk_win2/og1803rs/v_og1803rs_00_00_00_sk</w:t>
              </w:r>
            </w:hyperlink>
            <w:r>
              <w:rPr>
                <w:rFonts w:ascii="Times New Roman" w:eastAsia="Times New Roman" w:hAnsi="Times New Roman" w:cs="Times New Roman"/>
                <w:color w:val="000000"/>
                <w:sz w:val="24"/>
                <w:szCs w:val="24"/>
              </w:rPr>
              <w:t>&gt;</w:t>
            </w:r>
          </w:p>
          <w:p w14:paraId="00000275" w14:textId="77777777" w:rsidR="00B64B7D" w:rsidRDefault="00B64B7D">
            <w:pPr>
              <w:rPr>
                <w:rFonts w:ascii="Times New Roman" w:eastAsia="Times New Roman" w:hAnsi="Times New Roman" w:cs="Times New Roman"/>
                <w:i/>
                <w:sz w:val="20"/>
                <w:szCs w:val="20"/>
              </w:rPr>
            </w:pPr>
          </w:p>
          <w:p w14:paraId="00000276" w14:textId="77777777" w:rsidR="00B64B7D" w:rsidRDefault="00B64B7D">
            <w:pPr>
              <w:rPr>
                <w:rFonts w:ascii="Times New Roman" w:eastAsia="Times New Roman" w:hAnsi="Times New Roman" w:cs="Times New Roman"/>
                <w:b/>
                <w:sz w:val="20"/>
                <w:szCs w:val="20"/>
              </w:rPr>
            </w:pPr>
          </w:p>
        </w:tc>
      </w:tr>
      <w:tr w:rsidR="00B64B7D" w14:paraId="5B015919" w14:textId="77777777">
        <w:tc>
          <w:tcPr>
            <w:tcW w:w="9176" w:type="dxa"/>
            <w:tcBorders>
              <w:top w:val="single" w:sz="4" w:space="0" w:color="000000"/>
              <w:left w:val="single" w:sz="4" w:space="0" w:color="000000"/>
              <w:bottom w:val="single" w:sz="4" w:space="0" w:color="FFFFFF"/>
              <w:right w:val="single" w:sz="4" w:space="0" w:color="000000"/>
            </w:tcBorders>
            <w:shd w:val="clear" w:color="auto" w:fill="E2E2E2"/>
          </w:tcPr>
          <w:p w14:paraId="00000277" w14:textId="77777777" w:rsidR="00B64B7D" w:rsidRDefault="00742C7F">
            <w:pPr>
              <w:numPr>
                <w:ilvl w:val="0"/>
                <w:numId w:val="1"/>
              </w:numPr>
              <w:ind w:left="447" w:hanging="425"/>
              <w:rPr>
                <w:rFonts w:ascii="Times New Roman" w:eastAsia="Times New Roman" w:hAnsi="Times New Roman" w:cs="Times New Roman"/>
                <w:b/>
              </w:rPr>
            </w:pPr>
            <w:r>
              <w:rPr>
                <w:rFonts w:ascii="Times New Roman" w:eastAsia="Times New Roman" w:hAnsi="Times New Roman" w:cs="Times New Roman"/>
                <w:b/>
              </w:rPr>
              <w:lastRenderedPageBreak/>
              <w:t>Stanovisko Komisie na posudzovanie vybraných vplyvov z PPK č. 048/2025 z 22.4.2025</w:t>
            </w:r>
          </w:p>
          <w:p w14:paraId="00000278" w14:textId="77777777" w:rsidR="00B64B7D" w:rsidRDefault="00742C7F">
            <w:pPr>
              <w:ind w:left="502"/>
              <w:rPr>
                <w:rFonts w:ascii="Times New Roman" w:eastAsia="Times New Roman" w:hAnsi="Times New Roman" w:cs="Times New Roman"/>
                <w:b/>
                <w:sz w:val="20"/>
                <w:szCs w:val="20"/>
              </w:rPr>
            </w:pPr>
            <w:r>
              <w:rPr>
                <w:rFonts w:ascii="Times New Roman" w:eastAsia="Times New Roman" w:hAnsi="Times New Roman" w:cs="Times New Roman"/>
              </w:rPr>
              <w:t>(v prípade, ak sa uskutočnilo v zmysle bodu 8.1 Jednotnej metodiky)</w:t>
            </w:r>
          </w:p>
        </w:tc>
      </w:tr>
      <w:tr w:rsidR="00B64B7D" w14:paraId="40464B83" w14:textId="77777777">
        <w:trPr>
          <w:trHeight w:val="70"/>
        </w:trPr>
        <w:tc>
          <w:tcPr>
            <w:tcW w:w="9176" w:type="dxa"/>
            <w:tcBorders>
              <w:top w:val="single" w:sz="4" w:space="0" w:color="FFFFFF"/>
              <w:left w:val="single" w:sz="4" w:space="0" w:color="000000"/>
              <w:bottom w:val="single" w:sz="4" w:space="0" w:color="000000"/>
              <w:right w:val="single" w:sz="4" w:space="0" w:color="000000"/>
            </w:tcBorders>
            <w:shd w:val="clear" w:color="auto" w:fill="FFFFFF"/>
          </w:tcPr>
          <w:p w14:paraId="00000279" w14:textId="77777777" w:rsidR="00B64B7D" w:rsidRDefault="00B64B7D">
            <w:pPr>
              <w:rPr>
                <w:rFonts w:ascii="Times New Roman" w:eastAsia="Times New Roman" w:hAnsi="Times New Roman" w:cs="Times New Roman"/>
                <w:b/>
                <w:sz w:val="20"/>
                <w:szCs w:val="20"/>
              </w:rPr>
            </w:pPr>
          </w:p>
          <w:tbl>
            <w:tblPr>
              <w:tblStyle w:val="a4"/>
              <w:tblW w:w="8913" w:type="dxa"/>
              <w:tblInd w:w="284" w:type="dxa"/>
              <w:tblBorders>
                <w:top w:val="nil"/>
                <w:left w:val="nil"/>
                <w:bottom w:val="nil"/>
                <w:right w:val="nil"/>
                <w:insideH w:val="nil"/>
                <w:insideV w:val="nil"/>
              </w:tblBorders>
              <w:tblLayout w:type="fixed"/>
              <w:tblLook w:val="0400" w:firstRow="0" w:lastRow="0" w:firstColumn="0" w:lastColumn="0" w:noHBand="0" w:noVBand="1"/>
            </w:tblPr>
            <w:tblGrid>
              <w:gridCol w:w="2552"/>
              <w:gridCol w:w="3827"/>
              <w:gridCol w:w="2534"/>
            </w:tblGrid>
            <w:tr w:rsidR="00B64B7D" w14:paraId="5DC3EC1F" w14:textId="77777777">
              <w:trPr>
                <w:trHeight w:val="396"/>
              </w:trPr>
              <w:tc>
                <w:tcPr>
                  <w:tcW w:w="2552" w:type="dxa"/>
                </w:tcPr>
                <w:p w14:paraId="0000027A" w14:textId="77777777" w:rsidR="00B64B7D" w:rsidRDefault="00742C7F">
                  <w:pPr>
                    <w:rPr>
                      <w:rFonts w:ascii="Times New Roman" w:eastAsia="Times New Roman" w:hAnsi="Times New Roman" w:cs="Times New Roman"/>
                      <w:b/>
                      <w:sz w:val="20"/>
                      <w:szCs w:val="20"/>
                    </w:rPr>
                  </w:pPr>
                  <w:r>
                    <w:rPr>
                      <w:rFonts w:ascii="MS Gothic" w:eastAsia="MS Gothic" w:hAnsi="MS Gothic" w:cs="MS Gothic"/>
                      <w:b/>
                      <w:sz w:val="20"/>
                      <w:szCs w:val="20"/>
                    </w:rPr>
                    <w:t>☐</w:t>
                  </w:r>
                  <w:r>
                    <w:rPr>
                      <w:rFonts w:ascii="Times New Roman" w:eastAsia="Times New Roman" w:hAnsi="Times New Roman" w:cs="Times New Roman"/>
                      <w:b/>
                      <w:sz w:val="20"/>
                      <w:szCs w:val="20"/>
                    </w:rPr>
                    <w:t xml:space="preserve">  Súhlasné </w:t>
                  </w:r>
                </w:p>
              </w:tc>
              <w:tc>
                <w:tcPr>
                  <w:tcW w:w="3827" w:type="dxa"/>
                </w:tcPr>
                <w:p w14:paraId="0000027B" w14:textId="77777777" w:rsidR="00B64B7D" w:rsidRDefault="00742C7F">
                  <w:pPr>
                    <w:rPr>
                      <w:rFonts w:ascii="Times New Roman" w:eastAsia="Times New Roman" w:hAnsi="Times New Roman" w:cs="Times New Roman"/>
                      <w:b/>
                      <w:sz w:val="20"/>
                      <w:szCs w:val="20"/>
                    </w:rPr>
                  </w:pPr>
                  <w:r>
                    <w:rPr>
                      <w:rFonts w:ascii="MS Gothic" w:eastAsia="MS Gothic" w:hAnsi="MS Gothic" w:cs="MS Gothic"/>
                      <w:b/>
                      <w:sz w:val="20"/>
                      <w:szCs w:val="20"/>
                    </w:rPr>
                    <w:t>☐</w:t>
                  </w:r>
                  <w:r>
                    <w:rPr>
                      <w:rFonts w:ascii="Times New Roman" w:eastAsia="Times New Roman" w:hAnsi="Times New Roman" w:cs="Times New Roman"/>
                      <w:b/>
                      <w:sz w:val="20"/>
                      <w:szCs w:val="20"/>
                    </w:rPr>
                    <w:t xml:space="preserve">  Súhlasné s návrhom na dopracovanie</w:t>
                  </w:r>
                </w:p>
              </w:tc>
              <w:tc>
                <w:tcPr>
                  <w:tcW w:w="2534" w:type="dxa"/>
                </w:tcPr>
                <w:p w14:paraId="0000027C" w14:textId="77777777" w:rsidR="00B64B7D" w:rsidRDefault="00742C7F">
                  <w:pPr>
                    <w:ind w:right="459"/>
                    <w:rPr>
                      <w:rFonts w:ascii="Times New Roman" w:eastAsia="Times New Roman" w:hAnsi="Times New Roman" w:cs="Times New Roman"/>
                      <w:b/>
                      <w:sz w:val="20"/>
                      <w:szCs w:val="20"/>
                    </w:rPr>
                  </w:pPr>
                  <w:r>
                    <w:rPr>
                      <w:rFonts w:ascii="MS Gothic" w:eastAsia="MS Gothic" w:hAnsi="MS Gothic" w:cs="MS Gothic"/>
                      <w:b/>
                      <w:sz w:val="20"/>
                      <w:szCs w:val="20"/>
                    </w:rPr>
                    <w:t>☒</w:t>
                  </w:r>
                  <w:r>
                    <w:rPr>
                      <w:rFonts w:ascii="Times New Roman" w:eastAsia="Times New Roman" w:hAnsi="Times New Roman" w:cs="Times New Roman"/>
                      <w:b/>
                      <w:sz w:val="20"/>
                      <w:szCs w:val="20"/>
                    </w:rPr>
                    <w:t xml:space="preserve">  Nesúhlasné</w:t>
                  </w:r>
                </w:p>
              </w:tc>
            </w:tr>
          </w:tbl>
          <w:p w14:paraId="0000027D" w14:textId="77777777" w:rsidR="00B64B7D" w:rsidRDefault="00742C7F">
            <w:pPr>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Uveďte pripomienky zo stanoviska Komisie z časti II. spolu s Vaším vyhodnotením:</w:t>
            </w:r>
          </w:p>
          <w:p w14:paraId="0000027E" w14:textId="77777777" w:rsidR="00B64B7D" w:rsidRDefault="00B64B7D">
            <w:pPr>
              <w:rPr>
                <w:rFonts w:ascii="Times New Roman" w:eastAsia="Times New Roman" w:hAnsi="Times New Roman" w:cs="Times New Roman"/>
                <w:b/>
                <w:sz w:val="20"/>
                <w:szCs w:val="20"/>
              </w:rPr>
            </w:pPr>
          </w:p>
          <w:p w14:paraId="0000027F" w14:textId="77777777" w:rsidR="00B64B7D" w:rsidRDefault="00B64B7D">
            <w:pPr>
              <w:rPr>
                <w:rFonts w:ascii="Times New Roman" w:eastAsia="Times New Roman" w:hAnsi="Times New Roman" w:cs="Times New Roman"/>
                <w:b/>
                <w:sz w:val="20"/>
                <w:szCs w:val="20"/>
              </w:rPr>
            </w:pPr>
          </w:p>
          <w:p w14:paraId="00000280" w14:textId="77777777" w:rsidR="00B64B7D" w:rsidRDefault="00742C7F">
            <w:pPr>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II. Pripomienky a návrhy zmien: </w:t>
            </w:r>
            <w:r>
              <w:rPr>
                <w:rFonts w:ascii="Times New Roman" w:eastAsia="Times New Roman" w:hAnsi="Times New Roman" w:cs="Times New Roman"/>
                <w:sz w:val="24"/>
                <w:szCs w:val="24"/>
              </w:rPr>
              <w:t>Komisia uplatňuje k materiálu nasledovné pripomienky a odporúčania:</w:t>
            </w:r>
          </w:p>
          <w:p w14:paraId="00000281" w14:textId="77777777" w:rsidR="00B64B7D" w:rsidRDefault="00B64B7D">
            <w:pPr>
              <w:jc w:val="both"/>
              <w:rPr>
                <w:rFonts w:ascii="Times New Roman" w:eastAsia="Times New Roman" w:hAnsi="Times New Roman" w:cs="Times New Roman"/>
                <w:sz w:val="24"/>
                <w:szCs w:val="24"/>
              </w:rPr>
            </w:pPr>
          </w:p>
          <w:p w14:paraId="00000282" w14:textId="77777777" w:rsidR="00B64B7D" w:rsidRDefault="00742C7F">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K doložke vybraných vplyvov</w:t>
            </w:r>
          </w:p>
          <w:p w14:paraId="00000283" w14:textId="77777777" w:rsidR="00B64B7D" w:rsidRDefault="00742C7F">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Komisia žiada predkladateľa v doložke vybraných vplyvov o vyznačenie mechanizmu znižovanie byrokracie „áno“.</w:t>
            </w:r>
          </w:p>
          <w:p w14:paraId="00000284" w14:textId="77777777" w:rsidR="00B64B7D" w:rsidRDefault="00742C7F">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u w:val="single"/>
              </w:rPr>
              <w:t>Odôvodnenie:</w:t>
            </w:r>
            <w:r>
              <w:rPr>
                <w:rFonts w:ascii="Times New Roman" w:eastAsia="Times New Roman" w:hAnsi="Times New Roman" w:cs="Times New Roman"/>
                <w:sz w:val="24"/>
                <w:szCs w:val="24"/>
              </w:rPr>
              <w:t xml:space="preserve"> Materiál obsahuje regulácie, ktoré spadajú, podľa Jednotnej metodiky na posudzovanie vybraných vplyvov, pod mechanizmus znižovania byrokracie.</w:t>
            </w:r>
          </w:p>
          <w:p w14:paraId="00000285" w14:textId="77777777" w:rsidR="00B64B7D" w:rsidRDefault="00742C7F">
            <w:pPr>
              <w:ind w:firstLine="708"/>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Vyhodnotenie: akceptované, mechanizmus je v doložke vyznačený.</w:t>
            </w:r>
          </w:p>
          <w:p w14:paraId="00000286" w14:textId="77777777" w:rsidR="00B64B7D" w:rsidRDefault="00B64B7D">
            <w:pPr>
              <w:jc w:val="both"/>
              <w:rPr>
                <w:rFonts w:ascii="Times New Roman" w:eastAsia="Times New Roman" w:hAnsi="Times New Roman" w:cs="Times New Roman"/>
                <w:sz w:val="24"/>
                <w:szCs w:val="24"/>
              </w:rPr>
            </w:pPr>
          </w:p>
          <w:p w14:paraId="00000287" w14:textId="77777777" w:rsidR="00B64B7D" w:rsidRDefault="00742C7F">
            <w:pPr>
              <w:pBdr>
                <w:top w:val="nil"/>
                <w:left w:val="nil"/>
                <w:bottom w:val="nil"/>
                <w:right w:val="nil"/>
                <w:between w:val="nil"/>
              </w:pBdr>
              <w:spacing w:line="259"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K vplyvom na rozpočet verejnej správy</w:t>
            </w:r>
          </w:p>
          <w:p w14:paraId="00000288" w14:textId="77777777" w:rsidR="00B64B7D" w:rsidRDefault="00742C7F">
            <w:pPr>
              <w:pBdr>
                <w:top w:val="nil"/>
                <w:left w:val="nil"/>
                <w:bottom w:val="nil"/>
                <w:right w:val="nil"/>
                <w:between w:val="nil"/>
              </w:pBdr>
              <w:spacing w:line="259"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V doložke vybraných vplyvov predkladateľ označil pozitívny a negatívny, čiastočne zabezpečený vplyv na rozpočet verejnej správy, žiadny vplyv na rozpočty obcí a VÚC a neoznačil vplyv na limit verejných výdavkov. V analýze vplyvov v tabuľke č. 1/A je kvantifikovaný úbytok príjmov v sume 123 tis. eur ročne od roku 2026. Komisia upozorňuje, že v tejto súvislosti je potrebné označiť v doložke vybraných vplyvov negatívny, rozpočtovo zabezpečený vplyv a žiadny vplyv na limit verejných výdavkov. V analýze vplyvov v tabuľkách č. 1/A </w:t>
            </w:r>
            <w:proofErr w:type="spellStart"/>
            <w:r>
              <w:rPr>
                <w:rFonts w:ascii="Times New Roman" w:eastAsia="Times New Roman" w:hAnsi="Times New Roman" w:cs="Times New Roman"/>
                <w:color w:val="000000"/>
                <w:sz w:val="24"/>
                <w:szCs w:val="24"/>
              </w:rPr>
              <w:t>a</w:t>
            </w:r>
            <w:proofErr w:type="spellEnd"/>
            <w:r>
              <w:rPr>
                <w:rFonts w:ascii="Times New Roman" w:eastAsia="Times New Roman" w:hAnsi="Times New Roman" w:cs="Times New Roman"/>
                <w:color w:val="000000"/>
                <w:sz w:val="24"/>
                <w:szCs w:val="24"/>
              </w:rPr>
              <w:t xml:space="preserve"> č. 3 je potrebné uviesť dotknutý subjekt verejnej správy (kapitola VPS). Zároveň Komisia upozorňuje, že v zmysle zákona č. 523/2004 Z. z. o rozpočtových pravidlách musia byť uvedené aj návrhy na úhradu úbytku príjmov.</w:t>
            </w:r>
          </w:p>
          <w:p w14:paraId="00000289" w14:textId="77777777" w:rsidR="00B64B7D" w:rsidRDefault="00742C7F">
            <w:pPr>
              <w:pBdr>
                <w:top w:val="nil"/>
                <w:left w:val="nil"/>
                <w:bottom w:val="nil"/>
                <w:right w:val="nil"/>
                <w:between w:val="nil"/>
              </w:pBdr>
              <w:spacing w:line="259"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b/>
            </w:r>
          </w:p>
          <w:p w14:paraId="0000028A" w14:textId="77777777" w:rsidR="00B64B7D" w:rsidRDefault="00742C7F">
            <w:pPr>
              <w:pBdr>
                <w:top w:val="nil"/>
                <w:left w:val="nil"/>
                <w:bottom w:val="nil"/>
                <w:right w:val="nil"/>
                <w:between w:val="nil"/>
              </w:pBdr>
              <w:spacing w:line="259"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V súvislosti s novou povinnosťou pre poskytovateľov zdravotnej starostlivosti, ktorí poskytujú ústavnú zdravotnú starostlivosť, mať v pracovnom vzťahu na zabezpečenie hygienicko-epidemiologického režimu a na prevenciu, sledovanie a analýzu </w:t>
            </w:r>
            <w:proofErr w:type="spellStart"/>
            <w:r>
              <w:rPr>
                <w:rFonts w:ascii="Times New Roman" w:eastAsia="Times New Roman" w:hAnsi="Times New Roman" w:cs="Times New Roman"/>
                <w:color w:val="000000"/>
                <w:sz w:val="24"/>
                <w:szCs w:val="24"/>
              </w:rPr>
              <w:t>nozokomiálnych</w:t>
            </w:r>
            <w:proofErr w:type="spellEnd"/>
            <w:r>
              <w:rPr>
                <w:rFonts w:ascii="Times New Roman" w:eastAsia="Times New Roman" w:hAnsi="Times New Roman" w:cs="Times New Roman"/>
                <w:color w:val="000000"/>
                <w:sz w:val="24"/>
                <w:szCs w:val="24"/>
              </w:rPr>
              <w:t xml:space="preserve"> nákaz - lekára s profesijným titulom epidemiológ, lekár hygienik, </w:t>
            </w:r>
            <w:proofErr w:type="spellStart"/>
            <w:r>
              <w:rPr>
                <w:rFonts w:ascii="Times New Roman" w:eastAsia="Times New Roman" w:hAnsi="Times New Roman" w:cs="Times New Roman"/>
                <w:color w:val="000000"/>
                <w:sz w:val="24"/>
                <w:szCs w:val="24"/>
              </w:rPr>
              <w:t>infektológ</w:t>
            </w:r>
            <w:proofErr w:type="spellEnd"/>
            <w:r>
              <w:rPr>
                <w:rFonts w:ascii="Times New Roman" w:eastAsia="Times New Roman" w:hAnsi="Times New Roman" w:cs="Times New Roman"/>
                <w:color w:val="000000"/>
                <w:sz w:val="24"/>
                <w:szCs w:val="24"/>
              </w:rPr>
              <w:t xml:space="preserve"> alebo mikrobiológ a verejného zdravotníka so špecializáciou v špecializačnom odbore epidemiológia infekčných ochorení, Komisia žiada predložené kvantifikácie v bode 2.2.4. uviesť v sumárnej tabuľke s rozdelením výdavkov na EKRK (610 a 620). V nadväznosti na uvedenú povinnosť Komisia upozorňuje, že s predloženým materiálom bude možné súhlasiť len za podmienky, že z neho nebudú v jednotlivých rokoch vyplývať nekryté vplyvy na rozpočet verejnej správy a budú zabezpečené v rámci schválených limitov dotknutých subjektov verejnej správy a celkového limitu verejných výdavkov.</w:t>
            </w:r>
          </w:p>
          <w:p w14:paraId="0000028B" w14:textId="77777777" w:rsidR="00B64B7D" w:rsidRDefault="00742C7F">
            <w:pPr>
              <w:pBdr>
                <w:top w:val="nil"/>
                <w:left w:val="nil"/>
                <w:bottom w:val="nil"/>
                <w:right w:val="nil"/>
                <w:between w:val="nil"/>
              </w:pBdr>
              <w:spacing w:line="259" w:lineRule="auto"/>
              <w:ind w:left="708"/>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lastRenderedPageBreak/>
              <w:t xml:space="preserve">Vyhodnotenie: čiastočne akceptované. V doložke vybraných vplyvov označený negatívny, čiastočne rozpočtovo zabezpečený vplyv a žiadny vplyv na limit verejných výdavkov. V analýze vplyvov v tabuľkách č. 1/A </w:t>
            </w:r>
            <w:proofErr w:type="spellStart"/>
            <w:r>
              <w:rPr>
                <w:rFonts w:ascii="Times New Roman" w:eastAsia="Times New Roman" w:hAnsi="Times New Roman" w:cs="Times New Roman"/>
                <w:b/>
                <w:color w:val="000000"/>
                <w:sz w:val="24"/>
                <w:szCs w:val="24"/>
              </w:rPr>
              <w:t>a</w:t>
            </w:r>
            <w:proofErr w:type="spellEnd"/>
            <w:r>
              <w:rPr>
                <w:rFonts w:ascii="Times New Roman" w:eastAsia="Times New Roman" w:hAnsi="Times New Roman" w:cs="Times New Roman"/>
                <w:b/>
                <w:color w:val="000000"/>
                <w:sz w:val="24"/>
                <w:szCs w:val="24"/>
              </w:rPr>
              <w:t xml:space="preserve"> č. 3 doplnený dotknutý subjekt – kapitola VPS. Predložené kvantifikácie v bode 2.2.4. uvedené v sumárnej tabuľke s rozdelením výdavkov na EKRK (610 a 620).</w:t>
            </w:r>
          </w:p>
          <w:p w14:paraId="0000028C" w14:textId="7777B074" w:rsidR="00B64B7D" w:rsidRPr="00C84811" w:rsidRDefault="00970AE2" w:rsidP="0075775F">
            <w:pPr>
              <w:pBdr>
                <w:top w:val="nil"/>
                <w:left w:val="nil"/>
                <w:bottom w:val="nil"/>
                <w:right w:val="nil"/>
                <w:between w:val="nil"/>
              </w:pBdr>
              <w:spacing w:line="259" w:lineRule="auto"/>
              <w:ind w:left="692"/>
              <w:jc w:val="both"/>
              <w:rPr>
                <w:rFonts w:ascii="Times New Roman" w:eastAsia="Times New Roman" w:hAnsi="Times New Roman" w:cs="Times New Roman"/>
                <w:b/>
                <w:sz w:val="24"/>
                <w:szCs w:val="24"/>
              </w:rPr>
            </w:pPr>
            <w:r w:rsidRPr="009A7C4E">
              <w:rPr>
                <w:rFonts w:ascii="Times New Roman" w:eastAsia="Times New Roman" w:hAnsi="Times New Roman" w:cs="Times New Roman"/>
                <w:b/>
                <w:sz w:val="24"/>
                <w:szCs w:val="24"/>
              </w:rPr>
              <w:t xml:space="preserve">Na základe </w:t>
            </w:r>
            <w:proofErr w:type="spellStart"/>
            <w:r w:rsidRPr="009A7C4E">
              <w:rPr>
                <w:rFonts w:ascii="Times New Roman" w:eastAsia="Times New Roman" w:hAnsi="Times New Roman" w:cs="Times New Roman"/>
                <w:b/>
                <w:sz w:val="24"/>
                <w:szCs w:val="24"/>
              </w:rPr>
              <w:t>rozporových</w:t>
            </w:r>
            <w:proofErr w:type="spellEnd"/>
            <w:r w:rsidRPr="009A7C4E">
              <w:rPr>
                <w:rFonts w:ascii="Times New Roman" w:eastAsia="Times New Roman" w:hAnsi="Times New Roman" w:cs="Times New Roman"/>
                <w:b/>
                <w:sz w:val="24"/>
                <w:szCs w:val="24"/>
              </w:rPr>
              <w:t xml:space="preserve"> konaní Úrad verejného zdravotníctva SR vypustil povinnosť pre poskytovateľov zdravotnej starostlivosti, ktorí poskytujú ústavnú </w:t>
            </w:r>
            <w:r w:rsidRPr="00C84811">
              <w:rPr>
                <w:rFonts w:ascii="Times New Roman" w:eastAsia="Times New Roman" w:hAnsi="Times New Roman" w:cs="Times New Roman"/>
                <w:b/>
                <w:sz w:val="24"/>
                <w:szCs w:val="24"/>
              </w:rPr>
              <w:t>zdravotnú starostlivosť</w:t>
            </w:r>
            <w:r w:rsidRPr="00C84811">
              <w:rPr>
                <w:rFonts w:ascii="Times New Roman" w:eastAsia="Times New Roman" w:hAnsi="Times New Roman" w:cs="Times New Roman"/>
                <w:bCs/>
                <w:sz w:val="24"/>
                <w:szCs w:val="24"/>
              </w:rPr>
              <w:t xml:space="preserve">, </w:t>
            </w:r>
            <w:r w:rsidRPr="00C84811">
              <w:rPr>
                <w:rFonts w:ascii="Times New Roman" w:eastAsia="Times New Roman" w:hAnsi="Times New Roman" w:cs="Times New Roman"/>
                <w:b/>
                <w:color w:val="000000"/>
                <w:sz w:val="24"/>
                <w:szCs w:val="24"/>
              </w:rPr>
              <w:t xml:space="preserve">mať v pracovnom vzťahu lekára s profesijným titulom epidemiológ, lekár hygienik, </w:t>
            </w:r>
            <w:proofErr w:type="spellStart"/>
            <w:r w:rsidRPr="00C84811">
              <w:rPr>
                <w:rFonts w:ascii="Times New Roman" w:eastAsia="Times New Roman" w:hAnsi="Times New Roman" w:cs="Times New Roman"/>
                <w:b/>
                <w:color w:val="000000"/>
                <w:sz w:val="24"/>
                <w:szCs w:val="24"/>
              </w:rPr>
              <w:t>infektológ</w:t>
            </w:r>
            <w:proofErr w:type="spellEnd"/>
            <w:r w:rsidRPr="00C84811">
              <w:rPr>
                <w:rFonts w:ascii="Times New Roman" w:eastAsia="Times New Roman" w:hAnsi="Times New Roman" w:cs="Times New Roman"/>
                <w:b/>
                <w:color w:val="000000"/>
                <w:sz w:val="24"/>
                <w:szCs w:val="24"/>
              </w:rPr>
              <w:t xml:space="preserve"> alebo mikrobiológ a verejného zdravotníka so špecializáciou v špecializačnom odbore epidemiológia.</w:t>
            </w:r>
            <w:r w:rsidRPr="00C84811">
              <w:rPr>
                <w:rFonts w:ascii="Times New Roman" w:eastAsia="Times New Roman" w:hAnsi="Times New Roman" w:cs="Times New Roman"/>
                <w:b/>
                <w:sz w:val="24"/>
                <w:szCs w:val="24"/>
              </w:rPr>
              <w:t xml:space="preserve">  </w:t>
            </w:r>
          </w:p>
          <w:p w14:paraId="387DD7F8" w14:textId="3DD3A600" w:rsidR="00055AC8" w:rsidRPr="00055AC8" w:rsidRDefault="00055AC8" w:rsidP="00055AC8">
            <w:pPr>
              <w:pBdr>
                <w:top w:val="nil"/>
                <w:left w:val="nil"/>
                <w:bottom w:val="nil"/>
                <w:right w:val="nil"/>
                <w:between w:val="nil"/>
              </w:pBdr>
              <w:spacing w:line="259" w:lineRule="auto"/>
              <w:ind w:left="692"/>
              <w:jc w:val="both"/>
              <w:rPr>
                <w:rFonts w:ascii="Times New Roman" w:eastAsia="Times New Roman" w:hAnsi="Times New Roman" w:cs="Times New Roman"/>
                <w:bCs/>
                <w:color w:val="000000"/>
                <w:sz w:val="24"/>
                <w:szCs w:val="24"/>
                <w:lang w:val="sk-SK"/>
              </w:rPr>
            </w:pPr>
            <w:r w:rsidRPr="00C84811">
              <w:rPr>
                <w:rFonts w:ascii="Times New Roman" w:eastAsia="Times New Roman" w:hAnsi="Times New Roman" w:cs="Times New Roman"/>
                <w:bCs/>
                <w:color w:val="000000"/>
                <w:sz w:val="24"/>
                <w:szCs w:val="24"/>
                <w:lang w:val="sk-SK"/>
              </w:rPr>
              <w:t>Rozpor s MF SR bol odstránený. Rozdiel (výpadok príjmov) vo výške 122 436 € bude v roku 2026 zabezpečený v rámci schválených limitov rozpočtu. Vplyvy od roku 2027 vo výške 122 436 € ročne budú zabezpečené v rámci limitov pri príprave rozpočtu verejnej správy na roky 2027 až 2029.</w:t>
            </w:r>
          </w:p>
          <w:p w14:paraId="3721DF5B" w14:textId="237EAC5C" w:rsidR="00271C6F" w:rsidRPr="009A7C4E" w:rsidRDefault="00271C6F" w:rsidP="0075775F">
            <w:pPr>
              <w:pBdr>
                <w:top w:val="nil"/>
                <w:left w:val="nil"/>
                <w:bottom w:val="nil"/>
                <w:right w:val="nil"/>
                <w:between w:val="nil"/>
              </w:pBdr>
              <w:spacing w:line="259" w:lineRule="auto"/>
              <w:ind w:left="692"/>
              <w:jc w:val="both"/>
              <w:rPr>
                <w:rFonts w:ascii="Times New Roman" w:eastAsia="Times New Roman" w:hAnsi="Times New Roman" w:cs="Times New Roman"/>
                <w:color w:val="000000"/>
                <w:sz w:val="24"/>
                <w:szCs w:val="24"/>
              </w:rPr>
            </w:pPr>
          </w:p>
          <w:p w14:paraId="0000028D" w14:textId="77777777" w:rsidR="00B64B7D" w:rsidRDefault="00742C7F">
            <w:pPr>
              <w:pBdr>
                <w:top w:val="nil"/>
                <w:left w:val="nil"/>
                <w:bottom w:val="nil"/>
                <w:right w:val="nil"/>
                <w:between w:val="nil"/>
              </w:pBdr>
              <w:spacing w:line="259" w:lineRule="auto"/>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K sociálnym vplyvom</w:t>
            </w:r>
          </w:p>
          <w:p w14:paraId="0000028E" w14:textId="77777777" w:rsidR="00B64B7D" w:rsidRDefault="00742C7F">
            <w:pPr>
              <w:pBdr>
                <w:top w:val="nil"/>
                <w:left w:val="nil"/>
                <w:bottom w:val="nil"/>
                <w:right w:val="nil"/>
                <w:between w:val="nil"/>
              </w:pBdr>
              <w:spacing w:line="259"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V rámci predloženého návrhu Komisia považuje za potrebné v bode 4.2 analýzy sociálnych vplyvov zhodnotiť aj nasledujúce návrhy opatrení:</w:t>
            </w:r>
          </w:p>
          <w:p w14:paraId="0000028F" w14:textId="77777777" w:rsidR="00B64B7D" w:rsidRDefault="00742C7F">
            <w:pPr>
              <w:pBdr>
                <w:top w:val="nil"/>
                <w:left w:val="nil"/>
                <w:bottom w:val="nil"/>
                <w:right w:val="nil"/>
                <w:between w:val="nil"/>
              </w:pBdr>
              <w:spacing w:line="259"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Návrh na vypustenie povinnosti zamestnávateľa vypracovať vnútorný predpis pri záťaži teplom z technológie a povinnosť zamestnávateľa vypracovať prevádzkový poriadok pri rizikovej práci z dôvodu záťaže teplom alebo záťaže chladom z technológie. Preventívne a ochranné opatrenia pre pracovné činnosti súvisiace so záťažou teplom alebo záťažou chladom pri práci a popis vykonávanej činnosti (pracovné postupy) so zohľadnením pracovných podmienok a triedy práce uvádza posudok o riziku. Je potrebné zhodnotiť, či sa návrhom nezhoršuje ochrana zdravia dotknutých zamestnancov pri práci alebo (aj) informovanosť príslušných zamestnancov v rámci tejto ochrany.</w:t>
            </w:r>
          </w:p>
          <w:sdt>
            <w:sdtPr>
              <w:tag w:val="goog_rdk_40"/>
              <w:id w:val="-1003499752"/>
            </w:sdtPr>
            <w:sdtContent>
              <w:p w14:paraId="00000290" w14:textId="23DE138C" w:rsidR="00B64B7D" w:rsidRDefault="00742C7F">
                <w:pPr>
                  <w:pBdr>
                    <w:top w:val="nil"/>
                    <w:left w:val="nil"/>
                    <w:bottom w:val="nil"/>
                    <w:right w:val="nil"/>
                    <w:between w:val="nil"/>
                  </w:pBdr>
                  <w:spacing w:line="259" w:lineRule="auto"/>
                  <w:ind w:left="708"/>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Vyhodnotenie: neakceptované. Posúdenie zdravotného rizika pri práci a opatrenia na ochranu zdravia obsahuje posudok o riziku. Prevádzkový poriadok z hľadiska ochrany a podpory zdravia zamestnancov obsahuje väčšinu údajov, ktoré uvádza aj posudok o riziku, preto sa prevádzkový poriadok ani neschvaľuje orgánom verejného zdravotníctva. Vnútorný predpis je interná smernica, ktorá obsahuje údaje skopírované z právnych predpisov, z posudku o riziku a z prevádzkového poriadku. Zamestnanci musia byť informovaní o výsledkoch posúdenia zdravotného rizika pri práci (teda o posudku o riziku). Z uvedeného je zrejmé, že sa vypúšťajú duplicitné dokumenty, preto je v dôvodovej správe uvedené, že sa návrhom nezhoršuje ochrana zdravia pri práci. Prevádzkový poriadok z hľadiska ochrany a podpory zdravia zamestnancov môže byť na dobrovoľnej báze, nemusí byť povinnosťou stanovenou v legislatíve. </w:t>
                </w:r>
                <w:sdt>
                  <w:sdtPr>
                    <w:tag w:val="goog_rdk_39"/>
                    <w:id w:val="838277496"/>
                    <w:showingPlcHdr/>
                  </w:sdtPr>
                  <w:sdtContent>
                    <w:r w:rsidR="0075775F">
                      <w:t xml:space="preserve">     </w:t>
                    </w:r>
                  </w:sdtContent>
                </w:sdt>
              </w:p>
            </w:sdtContent>
          </w:sdt>
          <w:bookmarkStart w:id="0" w:name="_heading=h.s82u93eynqci" w:colFirst="0" w:colLast="0" w:displacedByCustomXml="next"/>
          <w:bookmarkEnd w:id="0" w:displacedByCustomXml="next"/>
          <w:sdt>
            <w:sdtPr>
              <w:tag w:val="goog_rdk_44"/>
              <w:id w:val="1910758180"/>
            </w:sdtPr>
            <w:sdtContent>
              <w:p w14:paraId="00000291" w14:textId="77777777" w:rsidR="00B64B7D" w:rsidRPr="0075775F" w:rsidRDefault="00000000">
                <w:pPr>
                  <w:pBdr>
                    <w:top w:val="nil"/>
                    <w:left w:val="nil"/>
                    <w:bottom w:val="nil"/>
                    <w:right w:val="nil"/>
                    <w:between w:val="nil"/>
                  </w:pBdr>
                  <w:spacing w:line="259" w:lineRule="auto"/>
                  <w:ind w:left="708"/>
                  <w:jc w:val="both"/>
                  <w:rPr>
                    <w:rFonts w:ascii="Times New Roman" w:eastAsia="Times New Roman" w:hAnsi="Times New Roman" w:cs="Times New Roman"/>
                    <w:b/>
                    <w:sz w:val="24"/>
                    <w:szCs w:val="24"/>
                  </w:rPr>
                </w:pPr>
                <w:sdt>
                  <w:sdtPr>
                    <w:tag w:val="goog_rdk_41"/>
                    <w:id w:val="179888240"/>
                  </w:sdtPr>
                  <w:sdtContent>
                    <w:sdt>
                      <w:sdtPr>
                        <w:tag w:val="goog_rdk_42"/>
                        <w:id w:val="368512097"/>
                      </w:sdtPr>
                      <w:sdtContent>
                        <w:r w:rsidR="00742C7F" w:rsidRPr="0075775F">
                          <w:rPr>
                            <w:rFonts w:ascii="Times New Roman" w:eastAsia="Times New Roman" w:hAnsi="Times New Roman" w:cs="Times New Roman"/>
                            <w:b/>
                            <w:sz w:val="24"/>
                            <w:szCs w:val="24"/>
                          </w:rPr>
                          <w:t xml:space="preserve">Na základe </w:t>
                        </w:r>
                        <w:proofErr w:type="spellStart"/>
                        <w:r w:rsidR="00742C7F" w:rsidRPr="0075775F">
                          <w:rPr>
                            <w:rFonts w:ascii="Times New Roman" w:eastAsia="Times New Roman" w:hAnsi="Times New Roman" w:cs="Times New Roman"/>
                            <w:b/>
                            <w:sz w:val="24"/>
                            <w:szCs w:val="24"/>
                          </w:rPr>
                          <w:t>rozporových</w:t>
                        </w:r>
                        <w:proofErr w:type="spellEnd"/>
                        <w:r w:rsidR="00742C7F" w:rsidRPr="0075775F">
                          <w:rPr>
                            <w:rFonts w:ascii="Times New Roman" w:eastAsia="Times New Roman" w:hAnsi="Times New Roman" w:cs="Times New Roman"/>
                            <w:b/>
                            <w:sz w:val="24"/>
                            <w:szCs w:val="24"/>
                          </w:rPr>
                          <w:t xml:space="preserve"> konaní Úrad verejného zdravotníctva SR akceptoval zásadné pripomienky pripomienkujúcich subjektov a ponechal povinnosť vypracovať vnútorný predpis pri záťaži teplom alebo chladom z technológie. </w:t>
                        </w:r>
                      </w:sdtContent>
                    </w:sdt>
                  </w:sdtContent>
                </w:sdt>
                <w:sdt>
                  <w:sdtPr>
                    <w:tag w:val="goog_rdk_43"/>
                    <w:id w:val="-1497975259"/>
                  </w:sdtPr>
                  <w:sdtContent/>
                </w:sdt>
              </w:p>
            </w:sdtContent>
          </w:sdt>
          <w:p w14:paraId="00000292" w14:textId="77777777" w:rsidR="00B64B7D" w:rsidRDefault="00742C7F">
            <w:pPr>
              <w:pBdr>
                <w:top w:val="nil"/>
                <w:left w:val="nil"/>
                <w:bottom w:val="nil"/>
                <w:right w:val="nil"/>
                <w:between w:val="nil"/>
              </w:pBdr>
              <w:spacing w:line="259"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Rovnako ako v prípade predchádzajúceho návrhu opatrenia je potrebné zhodnotiť aj návrh na vypustenie povinnosti zamestnávateľa vypracovať prevádzkový poriadok pri rizikovej práci z dôvodu fyzickej záťaže.</w:t>
            </w:r>
          </w:p>
          <w:p w14:paraId="00000293" w14:textId="77777777" w:rsidR="00B64B7D" w:rsidRDefault="00742C7F">
            <w:pPr>
              <w:pBdr>
                <w:top w:val="nil"/>
                <w:left w:val="nil"/>
                <w:bottom w:val="nil"/>
                <w:right w:val="nil"/>
                <w:between w:val="nil"/>
              </w:pBdr>
              <w:spacing w:line="259" w:lineRule="auto"/>
              <w:ind w:left="708"/>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lastRenderedPageBreak/>
              <w:t>Vyhodnotenie: neakceptované. Posúdenie zdravotného rizika pri práci a opatrenia na ochranu zdravia obsahuje posudok o riziku. Prevádzkový poriadok z hľadiska ochrany a podpory zdravia zamestnancov obsahuje väčšinu údajov, ktoré uvádza aj posudok o riziku.</w:t>
            </w:r>
          </w:p>
          <w:p w14:paraId="00000294" w14:textId="77777777" w:rsidR="00B64B7D" w:rsidRDefault="00742C7F">
            <w:pPr>
              <w:pBdr>
                <w:top w:val="nil"/>
                <w:left w:val="nil"/>
                <w:bottom w:val="nil"/>
                <w:right w:val="nil"/>
                <w:between w:val="nil"/>
              </w:pBdr>
              <w:spacing w:line="259"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Tiež je potrebné zhodnotiť vplyvy na zamestnancov v súvislosti s návrhom opatrenia, na základe ktorého sa práca so zobrazovacou jednotkou z hľadiska zdravotného rizika nekategorizuje.</w:t>
            </w:r>
          </w:p>
          <w:p w14:paraId="00000295" w14:textId="77777777" w:rsidR="00B64B7D" w:rsidRDefault="00742C7F">
            <w:pPr>
              <w:pBdr>
                <w:top w:val="nil"/>
                <w:left w:val="nil"/>
                <w:bottom w:val="nil"/>
                <w:right w:val="nil"/>
                <w:between w:val="nil"/>
              </w:pBdr>
              <w:spacing w:line="259" w:lineRule="auto"/>
              <w:ind w:left="708"/>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Vyhodnotenie: neakceptované. To, že sa práca so zobrazovacou jednotkou nekategorizuje, je konštatovanie nemenného faktu, nie je to návrh opatrenia. Preto nemá byť predmetom pripomienkovania. Konštatujeme to preto, aby sme odbornej verejnosti pripomenuli odborne správny postup. Požiadavky na prácu so zobrazovacími jednotkami upravuje samostatné NV SR č. 276/2006 Z. z.</w:t>
            </w:r>
          </w:p>
          <w:p w14:paraId="00000296" w14:textId="77777777" w:rsidR="00B64B7D" w:rsidRDefault="00742C7F">
            <w:pPr>
              <w:pBdr>
                <w:top w:val="nil"/>
                <w:left w:val="nil"/>
                <w:bottom w:val="nil"/>
                <w:right w:val="nil"/>
                <w:between w:val="nil"/>
              </w:pBdr>
              <w:spacing w:line="259"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Návrh, ktorým sa dopĺňa ustanovenie o sprístupnenie informácií (na informačných tabuliach) o lokalitách so statusom „voda určená na kúpanie“, ktoré sú vo významnej miere využívané počas kúpacej sezóny širokou verejnosťou. Ide o informácie, ktoré spracúvajú a  zverejňujú na svojich webových sídlach orgány verejného zdravotníctva. Ich sprístupnením v blízkosti samotných lokalít prispeje k rozvoju a atraktivite lokalít pre návštevníkov, ale aj k ochrane zdravia občanov príslušných obcí. </w:t>
            </w:r>
          </w:p>
          <w:p w14:paraId="00000297" w14:textId="77777777" w:rsidR="00B64B7D" w:rsidRDefault="00742C7F">
            <w:pPr>
              <w:pBdr>
                <w:top w:val="nil"/>
                <w:left w:val="nil"/>
                <w:bottom w:val="nil"/>
                <w:right w:val="nil"/>
                <w:between w:val="nil"/>
              </w:pBdr>
              <w:spacing w:line="259" w:lineRule="auto"/>
              <w:ind w:left="708"/>
              <w:jc w:val="both"/>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Vyhodnotenie: akceptované, sociálny vplyv bol doplnený do príslušnej analýzy.</w:t>
            </w:r>
          </w:p>
          <w:p w14:paraId="000002A5" w14:textId="77777777" w:rsidR="00B64B7D" w:rsidRDefault="00B64B7D">
            <w:pPr>
              <w:rPr>
                <w:rFonts w:ascii="Times New Roman" w:eastAsia="Times New Roman" w:hAnsi="Times New Roman" w:cs="Times New Roman"/>
                <w:b/>
                <w:sz w:val="20"/>
                <w:szCs w:val="20"/>
              </w:rPr>
            </w:pPr>
          </w:p>
          <w:p w14:paraId="000002A6" w14:textId="77777777" w:rsidR="00B64B7D" w:rsidRDefault="00B64B7D">
            <w:pPr>
              <w:rPr>
                <w:rFonts w:ascii="Times New Roman" w:eastAsia="Times New Roman" w:hAnsi="Times New Roman" w:cs="Times New Roman"/>
                <w:b/>
                <w:sz w:val="20"/>
                <w:szCs w:val="20"/>
              </w:rPr>
            </w:pPr>
          </w:p>
        </w:tc>
      </w:tr>
      <w:tr w:rsidR="00B64B7D" w14:paraId="63CBA9CB" w14:textId="77777777">
        <w:tc>
          <w:tcPr>
            <w:tcW w:w="9176" w:type="dxa"/>
            <w:tcBorders>
              <w:top w:val="single" w:sz="4" w:space="0" w:color="000000"/>
            </w:tcBorders>
            <w:shd w:val="clear" w:color="auto" w:fill="E2E2E2"/>
          </w:tcPr>
          <w:p w14:paraId="000002A7" w14:textId="77777777" w:rsidR="00B64B7D" w:rsidRDefault="00742C7F">
            <w:pPr>
              <w:numPr>
                <w:ilvl w:val="0"/>
                <w:numId w:val="1"/>
              </w:numPr>
              <w:ind w:left="450" w:hanging="425"/>
              <w:jc w:val="both"/>
              <w:rPr>
                <w:rFonts w:ascii="Times New Roman" w:eastAsia="Times New Roman" w:hAnsi="Times New Roman" w:cs="Times New Roman"/>
                <w:b/>
              </w:rPr>
            </w:pPr>
            <w:r>
              <w:rPr>
                <w:rFonts w:ascii="Times New Roman" w:eastAsia="Times New Roman" w:hAnsi="Times New Roman" w:cs="Times New Roman"/>
                <w:b/>
              </w:rPr>
              <w:lastRenderedPageBreak/>
              <w:t>Stanovisko Komisie na posudzovanie vybraných vplyvov zo záverečného posúdenia č. ..........</w:t>
            </w:r>
            <w:r>
              <w:rPr>
                <w:rFonts w:ascii="Times New Roman" w:eastAsia="Times New Roman" w:hAnsi="Times New Roman" w:cs="Times New Roman"/>
              </w:rPr>
              <w:t xml:space="preserve"> (v prípade, ak sa uskutočnilo v zmysle bodu 9.1. Jednotnej metodiky) </w:t>
            </w:r>
          </w:p>
        </w:tc>
      </w:tr>
      <w:tr w:rsidR="00B64B7D" w14:paraId="366F4F84" w14:textId="77777777">
        <w:tc>
          <w:tcPr>
            <w:tcW w:w="9176" w:type="dxa"/>
            <w:shd w:val="clear" w:color="auto" w:fill="FFFFFF"/>
          </w:tcPr>
          <w:p w14:paraId="000002A8" w14:textId="77777777" w:rsidR="00B64B7D" w:rsidRDefault="00B64B7D">
            <w:pPr>
              <w:rPr>
                <w:rFonts w:ascii="Times New Roman" w:eastAsia="Times New Roman" w:hAnsi="Times New Roman" w:cs="Times New Roman"/>
                <w:b/>
                <w:sz w:val="20"/>
                <w:szCs w:val="20"/>
              </w:rPr>
            </w:pPr>
          </w:p>
          <w:tbl>
            <w:tblPr>
              <w:tblStyle w:val="a5"/>
              <w:tblW w:w="8913" w:type="dxa"/>
              <w:tblInd w:w="284" w:type="dxa"/>
              <w:tblBorders>
                <w:top w:val="nil"/>
                <w:left w:val="nil"/>
                <w:bottom w:val="nil"/>
                <w:right w:val="nil"/>
                <w:insideH w:val="nil"/>
                <w:insideV w:val="nil"/>
              </w:tblBorders>
              <w:tblLayout w:type="fixed"/>
              <w:tblLook w:val="0400" w:firstRow="0" w:lastRow="0" w:firstColumn="0" w:lastColumn="0" w:noHBand="0" w:noVBand="1"/>
            </w:tblPr>
            <w:tblGrid>
              <w:gridCol w:w="2552"/>
              <w:gridCol w:w="3827"/>
              <w:gridCol w:w="2534"/>
            </w:tblGrid>
            <w:tr w:rsidR="00B64B7D" w14:paraId="173DBC59" w14:textId="77777777">
              <w:trPr>
                <w:trHeight w:val="396"/>
              </w:trPr>
              <w:tc>
                <w:tcPr>
                  <w:tcW w:w="2552" w:type="dxa"/>
                </w:tcPr>
                <w:p w14:paraId="000002A9" w14:textId="77777777" w:rsidR="00B64B7D" w:rsidRDefault="00742C7F">
                  <w:pPr>
                    <w:rPr>
                      <w:rFonts w:ascii="Times New Roman" w:eastAsia="Times New Roman" w:hAnsi="Times New Roman" w:cs="Times New Roman"/>
                      <w:b/>
                      <w:sz w:val="20"/>
                      <w:szCs w:val="20"/>
                    </w:rPr>
                  </w:pPr>
                  <w:r>
                    <w:rPr>
                      <w:rFonts w:ascii="MS Gothic" w:eastAsia="MS Gothic" w:hAnsi="MS Gothic" w:cs="MS Gothic"/>
                      <w:b/>
                      <w:sz w:val="20"/>
                      <w:szCs w:val="20"/>
                    </w:rPr>
                    <w:t>☐</w:t>
                  </w:r>
                  <w:r>
                    <w:rPr>
                      <w:rFonts w:ascii="Times New Roman" w:eastAsia="Times New Roman" w:hAnsi="Times New Roman" w:cs="Times New Roman"/>
                      <w:b/>
                      <w:sz w:val="20"/>
                      <w:szCs w:val="20"/>
                    </w:rPr>
                    <w:t xml:space="preserve">   Súhlasné </w:t>
                  </w:r>
                </w:p>
              </w:tc>
              <w:tc>
                <w:tcPr>
                  <w:tcW w:w="3827" w:type="dxa"/>
                </w:tcPr>
                <w:p w14:paraId="000002AA" w14:textId="77777777" w:rsidR="00B64B7D" w:rsidRDefault="00742C7F">
                  <w:pPr>
                    <w:rPr>
                      <w:rFonts w:ascii="Times New Roman" w:eastAsia="Times New Roman" w:hAnsi="Times New Roman" w:cs="Times New Roman"/>
                      <w:b/>
                      <w:sz w:val="20"/>
                      <w:szCs w:val="20"/>
                    </w:rPr>
                  </w:pPr>
                  <w:r>
                    <w:rPr>
                      <w:rFonts w:ascii="MS Gothic" w:eastAsia="MS Gothic" w:hAnsi="MS Gothic" w:cs="MS Gothic"/>
                      <w:b/>
                      <w:sz w:val="20"/>
                      <w:szCs w:val="20"/>
                    </w:rPr>
                    <w:t>☐</w:t>
                  </w:r>
                  <w:r>
                    <w:rPr>
                      <w:rFonts w:ascii="Times New Roman" w:eastAsia="Times New Roman" w:hAnsi="Times New Roman" w:cs="Times New Roman"/>
                      <w:b/>
                      <w:sz w:val="20"/>
                      <w:szCs w:val="20"/>
                    </w:rPr>
                    <w:t xml:space="preserve">  Súhlasné s  návrhom na dopracovanie</w:t>
                  </w:r>
                </w:p>
              </w:tc>
              <w:tc>
                <w:tcPr>
                  <w:tcW w:w="2534" w:type="dxa"/>
                </w:tcPr>
                <w:p w14:paraId="000002AB" w14:textId="77777777" w:rsidR="00B64B7D" w:rsidRDefault="00742C7F">
                  <w:pPr>
                    <w:ind w:right="459"/>
                    <w:rPr>
                      <w:rFonts w:ascii="Times New Roman" w:eastAsia="Times New Roman" w:hAnsi="Times New Roman" w:cs="Times New Roman"/>
                      <w:b/>
                      <w:sz w:val="20"/>
                      <w:szCs w:val="20"/>
                    </w:rPr>
                  </w:pPr>
                  <w:r>
                    <w:rPr>
                      <w:rFonts w:ascii="MS Gothic" w:eastAsia="MS Gothic" w:hAnsi="MS Gothic" w:cs="MS Gothic"/>
                      <w:b/>
                      <w:sz w:val="20"/>
                      <w:szCs w:val="20"/>
                    </w:rPr>
                    <w:t>☐</w:t>
                  </w:r>
                  <w:r>
                    <w:rPr>
                      <w:rFonts w:ascii="Times New Roman" w:eastAsia="Times New Roman" w:hAnsi="Times New Roman" w:cs="Times New Roman"/>
                      <w:b/>
                      <w:sz w:val="20"/>
                      <w:szCs w:val="20"/>
                    </w:rPr>
                    <w:t xml:space="preserve">  Nesúhlasné</w:t>
                  </w:r>
                </w:p>
              </w:tc>
            </w:tr>
          </w:tbl>
          <w:p w14:paraId="000002AC" w14:textId="77777777" w:rsidR="00B64B7D" w:rsidRDefault="00742C7F">
            <w:pPr>
              <w:jc w:val="both"/>
              <w:rPr>
                <w:rFonts w:ascii="Times New Roman" w:eastAsia="Times New Roman" w:hAnsi="Times New Roman" w:cs="Times New Roman"/>
                <w:b/>
                <w:sz w:val="20"/>
                <w:szCs w:val="20"/>
              </w:rPr>
            </w:pPr>
            <w:r>
              <w:rPr>
                <w:rFonts w:ascii="Times New Roman" w:eastAsia="Times New Roman" w:hAnsi="Times New Roman" w:cs="Times New Roman"/>
                <w:b/>
                <w:sz w:val="20"/>
                <w:szCs w:val="20"/>
              </w:rPr>
              <w:t>Uveďte pripomienky zo stanoviska Komisie z časti II. spolu s Vaším vyhodnotením:</w:t>
            </w:r>
          </w:p>
          <w:p w14:paraId="000002AD" w14:textId="77777777" w:rsidR="00B64B7D" w:rsidRDefault="00B64B7D">
            <w:pPr>
              <w:rPr>
                <w:rFonts w:ascii="Times New Roman" w:eastAsia="Times New Roman" w:hAnsi="Times New Roman" w:cs="Times New Roman"/>
                <w:b/>
                <w:sz w:val="20"/>
                <w:szCs w:val="20"/>
              </w:rPr>
            </w:pPr>
          </w:p>
          <w:p w14:paraId="000002AE" w14:textId="77777777" w:rsidR="00B64B7D" w:rsidRDefault="00B64B7D">
            <w:pPr>
              <w:rPr>
                <w:rFonts w:ascii="Times New Roman" w:eastAsia="Times New Roman" w:hAnsi="Times New Roman" w:cs="Times New Roman"/>
                <w:b/>
                <w:sz w:val="20"/>
                <w:szCs w:val="20"/>
              </w:rPr>
            </w:pPr>
          </w:p>
        </w:tc>
      </w:tr>
    </w:tbl>
    <w:p w14:paraId="000002AF" w14:textId="77777777" w:rsidR="00B64B7D" w:rsidRDefault="00B64B7D"/>
    <w:sectPr w:rsidR="00B64B7D">
      <w:headerReference w:type="default" r:id="rId19"/>
      <w:footerReference w:type="default" r:id="rId20"/>
      <w:pgSz w:w="11906" w:h="16838"/>
      <w:pgMar w:top="1417"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4D4787" w14:textId="77777777" w:rsidR="004760F4" w:rsidRDefault="004760F4">
      <w:pPr>
        <w:spacing w:after="0" w:line="240" w:lineRule="auto"/>
      </w:pPr>
      <w:r>
        <w:separator/>
      </w:r>
    </w:p>
  </w:endnote>
  <w:endnote w:type="continuationSeparator" w:id="0">
    <w:p w14:paraId="01E63489" w14:textId="77777777" w:rsidR="004760F4" w:rsidRDefault="004760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32024DD1-7CBB-40A1-80EB-8DC650780A6C}"/>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2" w:fontKey="{4C5213C7-398E-48D3-AC6F-2B989EA2E85F}"/>
    <w:embedBold r:id="rId3" w:fontKey="{FFB2DD8A-6DA6-4F0C-8BFE-009330524381}"/>
  </w:font>
  <w:font w:name="Tahoma">
    <w:panose1 w:val="020B0604030504040204"/>
    <w:charset w:val="EE"/>
    <w:family w:val="swiss"/>
    <w:pitch w:val="variable"/>
    <w:sig w:usb0="E1002EFF" w:usb1="C000605B" w:usb2="00000029" w:usb3="00000000" w:csb0="000101FF" w:csb1="00000000"/>
    <w:embedRegular r:id="rId4" w:fontKey="{A1DCA487-15FD-4CAC-9D13-BC75138ED609}"/>
  </w:font>
  <w:font w:name="Georgia">
    <w:panose1 w:val="02040502050405020303"/>
    <w:charset w:val="EE"/>
    <w:family w:val="roman"/>
    <w:pitch w:val="variable"/>
    <w:sig w:usb0="00000287" w:usb1="00000000" w:usb2="00000000" w:usb3="00000000" w:csb0="0000009F" w:csb1="00000000"/>
    <w:embedRegular r:id="rId5" w:fontKey="{6BAA2FCE-CADA-434E-A38D-E209DE2333A0}"/>
    <w:embedItalic r:id="rId6" w:fontKey="{5C008EB4-98CC-4FB5-B6DD-5A74972E5FFD}"/>
  </w:font>
  <w:font w:name="MS Gothic">
    <w:altName w:val="ＭＳ ゴシック"/>
    <w:panose1 w:val="020B0609070205080204"/>
    <w:charset w:val="80"/>
    <w:family w:val="modern"/>
    <w:pitch w:val="fixed"/>
    <w:sig w:usb0="E00002FF" w:usb1="6AC7FDFB" w:usb2="08000012" w:usb3="00000000" w:csb0="0002009F" w:csb1="00000000"/>
    <w:embedRegular r:id="rId7" w:subsetted="1" w:fontKey="{1B03B6A7-98B5-4B9F-BACC-A454931B0592}"/>
    <w:embedBold r:id="rId8" w:subsetted="1" w:fontKey="{E9924847-2D1D-4DE7-87DA-BC4180031B52}"/>
  </w:font>
  <w:font w:name="Quattrocento Sans">
    <w:charset w:val="00"/>
    <w:family w:val="swiss"/>
    <w:pitch w:val="variable"/>
    <w:sig w:usb0="800000BF" w:usb1="4000005B" w:usb2="00000000" w:usb3="00000000" w:csb0="00000001" w:csb1="00000000"/>
    <w:embedRegular r:id="rId9" w:fontKey="{D1B8ED55-B5B6-47B5-ABD7-A64555FF71AD}"/>
  </w:font>
  <w:font w:name="Calibri Light">
    <w:panose1 w:val="020F0302020204030204"/>
    <w:charset w:val="EE"/>
    <w:family w:val="swiss"/>
    <w:pitch w:val="variable"/>
    <w:sig w:usb0="E4002EFF" w:usb1="C200247B" w:usb2="00000009" w:usb3="00000000" w:csb0="000001FF" w:csb1="00000000"/>
    <w:embedRegular r:id="rId10" w:fontKey="{5931C423-7E65-4D03-A123-6F0FE03F522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B1" w14:textId="77777777" w:rsidR="00B64B7D" w:rsidRDefault="00B64B7D">
    <w:pPr>
      <w:pBdr>
        <w:top w:val="nil"/>
        <w:left w:val="nil"/>
        <w:bottom w:val="nil"/>
        <w:right w:val="nil"/>
        <w:between w:val="nil"/>
      </w:pBdr>
      <w:tabs>
        <w:tab w:val="center" w:pos="4536"/>
        <w:tab w:val="right" w:pos="9072"/>
      </w:tabs>
      <w:spacing w:after="0" w:line="240" w:lineRule="auto"/>
      <w:jc w:val="right"/>
      <w:rPr>
        <w:rFonts w:ascii="Times New Roman" w:eastAsia="Times New Roman" w:hAnsi="Times New Roman" w:cs="Times New Roman"/>
        <w:color w:val="000000"/>
        <w:sz w:val="24"/>
        <w:szCs w:val="24"/>
      </w:rPr>
    </w:pPr>
  </w:p>
  <w:p w14:paraId="000002B2" w14:textId="77777777" w:rsidR="00B64B7D" w:rsidRDefault="00B64B7D">
    <w:pPr>
      <w:pBdr>
        <w:top w:val="nil"/>
        <w:left w:val="nil"/>
        <w:bottom w:val="nil"/>
        <w:right w:val="nil"/>
        <w:between w:val="nil"/>
      </w:pBdr>
      <w:tabs>
        <w:tab w:val="center" w:pos="4536"/>
        <w:tab w:val="right" w:pos="9072"/>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C54C4B" w14:textId="77777777" w:rsidR="004760F4" w:rsidRDefault="004760F4">
      <w:pPr>
        <w:spacing w:after="0" w:line="240" w:lineRule="auto"/>
      </w:pPr>
      <w:r>
        <w:separator/>
      </w:r>
    </w:p>
  </w:footnote>
  <w:footnote w:type="continuationSeparator" w:id="0">
    <w:p w14:paraId="7697BE1F" w14:textId="77777777" w:rsidR="004760F4" w:rsidRDefault="004760F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B0" w14:textId="77777777" w:rsidR="00B64B7D" w:rsidRDefault="00B64B7D">
    <w:pPr>
      <w:pBdr>
        <w:top w:val="nil"/>
        <w:left w:val="nil"/>
        <w:bottom w:val="nil"/>
        <w:right w:val="nil"/>
        <w:between w:val="nil"/>
      </w:pBdr>
      <w:tabs>
        <w:tab w:val="center" w:pos="4536"/>
        <w:tab w:val="right" w:pos="9072"/>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ED09F7"/>
    <w:multiLevelType w:val="multilevel"/>
    <w:tmpl w:val="76229B2A"/>
    <w:lvl w:ilvl="0">
      <w:start w:val="1"/>
      <w:numFmt w:val="decimal"/>
      <w:lvlText w:val="%1."/>
      <w:lvlJc w:val="left"/>
      <w:pPr>
        <w:ind w:left="862" w:hanging="360"/>
      </w:pPr>
    </w:lvl>
    <w:lvl w:ilvl="1">
      <w:start w:val="1"/>
      <w:numFmt w:val="lowerLetter"/>
      <w:lvlText w:val="%2."/>
      <w:lvlJc w:val="left"/>
      <w:pPr>
        <w:ind w:left="1582" w:hanging="360"/>
      </w:pPr>
    </w:lvl>
    <w:lvl w:ilvl="2">
      <w:start w:val="1"/>
      <w:numFmt w:val="lowerRoman"/>
      <w:lvlText w:val="%3."/>
      <w:lvlJc w:val="right"/>
      <w:pPr>
        <w:ind w:left="2302" w:hanging="180"/>
      </w:pPr>
    </w:lvl>
    <w:lvl w:ilvl="3">
      <w:start w:val="1"/>
      <w:numFmt w:val="decimal"/>
      <w:lvlText w:val="%4."/>
      <w:lvlJc w:val="left"/>
      <w:pPr>
        <w:ind w:left="3022" w:hanging="360"/>
      </w:pPr>
    </w:lvl>
    <w:lvl w:ilvl="4">
      <w:start w:val="1"/>
      <w:numFmt w:val="lowerLetter"/>
      <w:lvlText w:val="%5."/>
      <w:lvlJc w:val="left"/>
      <w:pPr>
        <w:ind w:left="3742" w:hanging="360"/>
      </w:pPr>
    </w:lvl>
    <w:lvl w:ilvl="5">
      <w:start w:val="1"/>
      <w:numFmt w:val="lowerRoman"/>
      <w:lvlText w:val="%6."/>
      <w:lvlJc w:val="right"/>
      <w:pPr>
        <w:ind w:left="4462" w:hanging="180"/>
      </w:pPr>
    </w:lvl>
    <w:lvl w:ilvl="6">
      <w:start w:val="1"/>
      <w:numFmt w:val="decimal"/>
      <w:lvlText w:val="%7."/>
      <w:lvlJc w:val="left"/>
      <w:pPr>
        <w:ind w:left="5182" w:hanging="360"/>
      </w:pPr>
    </w:lvl>
    <w:lvl w:ilvl="7">
      <w:start w:val="1"/>
      <w:numFmt w:val="lowerLetter"/>
      <w:lvlText w:val="%8."/>
      <w:lvlJc w:val="left"/>
      <w:pPr>
        <w:ind w:left="5902" w:hanging="360"/>
      </w:pPr>
    </w:lvl>
    <w:lvl w:ilvl="8">
      <w:start w:val="1"/>
      <w:numFmt w:val="lowerRoman"/>
      <w:lvlText w:val="%9."/>
      <w:lvlJc w:val="right"/>
      <w:pPr>
        <w:ind w:left="6622" w:hanging="180"/>
      </w:pPr>
    </w:lvl>
  </w:abstractNum>
  <w:abstractNum w:abstractNumId="1" w15:restartNumberingAfterBreak="0">
    <w:nsid w:val="0E783EFA"/>
    <w:multiLevelType w:val="multilevel"/>
    <w:tmpl w:val="72C0BCE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26F6A73"/>
    <w:multiLevelType w:val="multilevel"/>
    <w:tmpl w:val="05BC5A7C"/>
    <w:lvl w:ilvl="0">
      <w:start w:val="3"/>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31E00918"/>
    <w:multiLevelType w:val="multilevel"/>
    <w:tmpl w:val="32901F36"/>
    <w:lvl w:ilvl="0">
      <w:start w:val="3"/>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52123095"/>
    <w:multiLevelType w:val="multilevel"/>
    <w:tmpl w:val="1062DA1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6F141407"/>
    <w:multiLevelType w:val="multilevel"/>
    <w:tmpl w:val="11C28D2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72E516FD"/>
    <w:multiLevelType w:val="multilevel"/>
    <w:tmpl w:val="2C06527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699432348">
    <w:abstractNumId w:val="0"/>
  </w:num>
  <w:num w:numId="2" w16cid:durableId="1807626830">
    <w:abstractNumId w:val="2"/>
  </w:num>
  <w:num w:numId="3" w16cid:durableId="982125216">
    <w:abstractNumId w:val="3"/>
  </w:num>
  <w:num w:numId="4" w16cid:durableId="278806631">
    <w:abstractNumId w:val="4"/>
  </w:num>
  <w:num w:numId="5" w16cid:durableId="1570768719">
    <w:abstractNumId w:val="1"/>
  </w:num>
  <w:num w:numId="6" w16cid:durableId="955986687">
    <w:abstractNumId w:val="6"/>
  </w:num>
  <w:num w:numId="7" w16cid:durableId="177296964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trackRevision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64B7D"/>
    <w:rsid w:val="000250AB"/>
    <w:rsid w:val="00055AC8"/>
    <w:rsid w:val="00271C6F"/>
    <w:rsid w:val="002D556B"/>
    <w:rsid w:val="003A663A"/>
    <w:rsid w:val="004760F4"/>
    <w:rsid w:val="0048695C"/>
    <w:rsid w:val="00517B29"/>
    <w:rsid w:val="006B220D"/>
    <w:rsid w:val="00742C7F"/>
    <w:rsid w:val="0075775F"/>
    <w:rsid w:val="007B3807"/>
    <w:rsid w:val="00833AFF"/>
    <w:rsid w:val="00922999"/>
    <w:rsid w:val="00954A73"/>
    <w:rsid w:val="00970AE2"/>
    <w:rsid w:val="009A7C4E"/>
    <w:rsid w:val="00AF6D02"/>
    <w:rsid w:val="00B01F4A"/>
    <w:rsid w:val="00B64B7D"/>
    <w:rsid w:val="00BD0E72"/>
    <w:rsid w:val="00C84811"/>
    <w:rsid w:val="00CE21A1"/>
    <w:rsid w:val="00D667B7"/>
    <w:rsid w:val="00D81388"/>
    <w:rsid w:val="00DA10FF"/>
    <w:rsid w:val="00E33CAA"/>
    <w:rsid w:val="00E82097"/>
    <w:rsid w:val="00F572CF"/>
    <w:rsid w:val="00F926A6"/>
    <w:rsid w:val="00FB0A07"/>
    <w:rsid w:val="00FE0FE4"/>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0ECBA2"/>
  <w15:docId w15:val="{EE2080C4-F30C-4E71-ABB9-FCFB802BAF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sk" w:eastAsia="sk-SK"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qFormat/>
    <w:rsid w:val="001B23B7"/>
  </w:style>
  <w:style w:type="paragraph" w:styleId="Nadpis1">
    <w:name w:val="heading 1"/>
    <w:basedOn w:val="Normlny"/>
    <w:link w:val="Nadpis1Char"/>
    <w:uiPriority w:val="9"/>
    <w:qFormat/>
    <w:rsid w:val="00BC7DC5"/>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Nadpis2">
    <w:name w:val="heading 2"/>
    <w:basedOn w:val="Normlny"/>
    <w:next w:val="Normlny"/>
    <w:link w:val="Nadpis2Char"/>
    <w:uiPriority w:val="9"/>
    <w:semiHidden/>
    <w:unhideWhenUsed/>
    <w:qFormat/>
    <w:rsid w:val="00BC7DC5"/>
    <w:pPr>
      <w:keepNext/>
      <w:keepLines/>
      <w:spacing w:before="360" w:after="80"/>
      <w:outlineLvl w:val="1"/>
    </w:pPr>
    <w:rPr>
      <w:b/>
      <w:sz w:val="36"/>
      <w:szCs w:val="36"/>
    </w:rPr>
  </w:style>
  <w:style w:type="paragraph" w:styleId="Nadpis3">
    <w:name w:val="heading 3"/>
    <w:basedOn w:val="Normlny"/>
    <w:link w:val="Nadpis3Char"/>
    <w:uiPriority w:val="9"/>
    <w:semiHidden/>
    <w:unhideWhenUsed/>
    <w:qFormat/>
    <w:rsid w:val="00BC7DC5"/>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Nadpis4">
    <w:name w:val="heading 4"/>
    <w:basedOn w:val="Normlny"/>
    <w:link w:val="Nadpis4Char"/>
    <w:uiPriority w:val="9"/>
    <w:semiHidden/>
    <w:unhideWhenUsed/>
    <w:qFormat/>
    <w:rsid w:val="00BC7DC5"/>
    <w:pPr>
      <w:spacing w:before="100" w:beforeAutospacing="1" w:after="100" w:afterAutospacing="1" w:line="240" w:lineRule="auto"/>
      <w:outlineLvl w:val="3"/>
    </w:pPr>
    <w:rPr>
      <w:rFonts w:ascii="Times New Roman" w:eastAsia="Times New Roman" w:hAnsi="Times New Roman" w:cs="Times New Roman"/>
      <w:b/>
      <w:bCs/>
      <w:sz w:val="24"/>
      <w:szCs w:val="24"/>
    </w:rPr>
  </w:style>
  <w:style w:type="paragraph" w:styleId="Nadpis5">
    <w:name w:val="heading 5"/>
    <w:basedOn w:val="Normlny"/>
    <w:next w:val="Normlny"/>
    <w:link w:val="Nadpis5Char"/>
    <w:uiPriority w:val="9"/>
    <w:semiHidden/>
    <w:unhideWhenUsed/>
    <w:qFormat/>
    <w:rsid w:val="00BC7DC5"/>
    <w:pPr>
      <w:keepNext/>
      <w:keepLines/>
      <w:spacing w:before="220" w:after="40"/>
      <w:outlineLvl w:val="4"/>
    </w:pPr>
    <w:rPr>
      <w:b/>
    </w:rPr>
  </w:style>
  <w:style w:type="paragraph" w:styleId="Nadpis6">
    <w:name w:val="heading 6"/>
    <w:basedOn w:val="Normlny"/>
    <w:next w:val="Normlny"/>
    <w:link w:val="Nadpis6Char"/>
    <w:uiPriority w:val="9"/>
    <w:semiHidden/>
    <w:unhideWhenUsed/>
    <w:qFormat/>
    <w:rsid w:val="00BC7DC5"/>
    <w:pPr>
      <w:keepNext/>
      <w:keepLines/>
      <w:spacing w:before="200" w:after="40"/>
      <w:outlineLvl w:val="5"/>
    </w:pPr>
    <w:rPr>
      <w:b/>
      <w:sz w:val="20"/>
      <w:szCs w:val="20"/>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ov">
    <w:name w:val="Title"/>
    <w:basedOn w:val="Normlny"/>
    <w:next w:val="Normlny"/>
    <w:link w:val="NzovChar"/>
    <w:uiPriority w:val="10"/>
    <w:qFormat/>
    <w:rsid w:val="00BC7DC5"/>
    <w:pPr>
      <w:keepNext/>
      <w:keepLines/>
      <w:spacing w:before="480" w:after="120"/>
    </w:pPr>
    <w:rPr>
      <w:b/>
      <w:sz w:val="72"/>
      <w:szCs w:val="72"/>
    </w:rPr>
  </w:style>
  <w:style w:type="table" w:customStyle="1" w:styleId="Mriekatabuky1">
    <w:name w:val="Mriežka tabuľky1"/>
    <w:basedOn w:val="Normlnatabuka"/>
    <w:next w:val="Mriekatabuky"/>
    <w:uiPriority w:val="59"/>
    <w:rsid w:val="001B23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riekatabuky">
    <w:name w:val="Table Grid"/>
    <w:basedOn w:val="Normlnatabuka"/>
    <w:uiPriority w:val="39"/>
    <w:rsid w:val="001B23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lavika">
    <w:name w:val="header"/>
    <w:basedOn w:val="Normlny"/>
    <w:link w:val="HlavikaChar"/>
    <w:uiPriority w:val="99"/>
    <w:unhideWhenUsed/>
    <w:rsid w:val="001B23B7"/>
    <w:pPr>
      <w:tabs>
        <w:tab w:val="center" w:pos="4536"/>
        <w:tab w:val="right" w:pos="9072"/>
      </w:tabs>
      <w:spacing w:after="0" w:line="240" w:lineRule="auto"/>
    </w:pPr>
  </w:style>
  <w:style w:type="character" w:customStyle="1" w:styleId="HlavikaChar">
    <w:name w:val="Hlavička Char"/>
    <w:basedOn w:val="Predvolenpsmoodseku"/>
    <w:link w:val="Hlavika"/>
    <w:uiPriority w:val="99"/>
    <w:rsid w:val="001B23B7"/>
  </w:style>
  <w:style w:type="paragraph" w:styleId="Pta">
    <w:name w:val="footer"/>
    <w:basedOn w:val="Normlny"/>
    <w:link w:val="PtaChar"/>
    <w:uiPriority w:val="99"/>
    <w:unhideWhenUsed/>
    <w:rsid w:val="001B23B7"/>
    <w:pPr>
      <w:tabs>
        <w:tab w:val="center" w:pos="4536"/>
        <w:tab w:val="right" w:pos="9072"/>
      </w:tabs>
      <w:spacing w:after="0" w:line="240" w:lineRule="auto"/>
    </w:pPr>
  </w:style>
  <w:style w:type="character" w:customStyle="1" w:styleId="PtaChar">
    <w:name w:val="Päta Char"/>
    <w:basedOn w:val="Predvolenpsmoodseku"/>
    <w:link w:val="Pta"/>
    <w:uiPriority w:val="99"/>
    <w:rsid w:val="001B23B7"/>
  </w:style>
  <w:style w:type="paragraph" w:styleId="Textbubliny">
    <w:name w:val="Balloon Text"/>
    <w:basedOn w:val="Normlny"/>
    <w:link w:val="TextbublinyChar"/>
    <w:uiPriority w:val="99"/>
    <w:semiHidden/>
    <w:unhideWhenUsed/>
    <w:rsid w:val="007B40C1"/>
    <w:pPr>
      <w:spacing w:after="0" w:line="240" w:lineRule="auto"/>
    </w:pPr>
    <w:rPr>
      <w:rFonts w:ascii="Tahoma" w:hAnsi="Tahoma" w:cs="Tahoma"/>
      <w:sz w:val="16"/>
      <w:szCs w:val="16"/>
    </w:rPr>
  </w:style>
  <w:style w:type="character" w:customStyle="1" w:styleId="TextbublinyChar">
    <w:name w:val="Text bubliny Char"/>
    <w:basedOn w:val="Predvolenpsmoodseku"/>
    <w:link w:val="Textbubliny"/>
    <w:uiPriority w:val="99"/>
    <w:semiHidden/>
    <w:rsid w:val="007B40C1"/>
    <w:rPr>
      <w:rFonts w:ascii="Tahoma" w:hAnsi="Tahoma" w:cs="Tahoma"/>
      <w:sz w:val="16"/>
      <w:szCs w:val="16"/>
    </w:rPr>
  </w:style>
  <w:style w:type="paragraph" w:customStyle="1" w:styleId="Default">
    <w:name w:val="Default"/>
    <w:rsid w:val="00A7788F"/>
    <w:pPr>
      <w:autoSpaceDE w:val="0"/>
      <w:autoSpaceDN w:val="0"/>
      <w:adjustRightInd w:val="0"/>
      <w:spacing w:after="0" w:line="240" w:lineRule="auto"/>
    </w:pPr>
    <w:rPr>
      <w:rFonts w:ascii="Times New Roman" w:hAnsi="Times New Roman" w:cs="Times New Roman"/>
      <w:color w:val="000000"/>
      <w:sz w:val="24"/>
      <w:szCs w:val="24"/>
    </w:rPr>
  </w:style>
  <w:style w:type="paragraph" w:styleId="Normlnywebov">
    <w:name w:val="Normal (Web)"/>
    <w:aliases w:val="webb"/>
    <w:basedOn w:val="Normlny"/>
    <w:unhideWhenUsed/>
    <w:rsid w:val="006A730E"/>
    <w:pPr>
      <w:spacing w:after="0" w:line="240" w:lineRule="auto"/>
    </w:pPr>
    <w:rPr>
      <w:rFonts w:ascii="Times New Roman" w:eastAsia="Times New Roman" w:hAnsi="Times New Roman" w:cs="Times New Roman"/>
      <w:sz w:val="24"/>
      <w:szCs w:val="24"/>
    </w:rPr>
  </w:style>
  <w:style w:type="paragraph" w:styleId="Odsekzoznamu">
    <w:name w:val="List Paragraph"/>
    <w:basedOn w:val="Normlny"/>
    <w:uiPriority w:val="34"/>
    <w:qFormat/>
    <w:rsid w:val="00A601CA"/>
    <w:pPr>
      <w:ind w:left="720"/>
      <w:contextualSpacing/>
    </w:pPr>
  </w:style>
  <w:style w:type="character" w:styleId="Hypertextovprepojenie">
    <w:name w:val="Hyperlink"/>
    <w:basedOn w:val="Predvolenpsmoodseku"/>
    <w:uiPriority w:val="99"/>
    <w:unhideWhenUsed/>
    <w:rsid w:val="00AC54AD"/>
    <w:rPr>
      <w:color w:val="0563C1" w:themeColor="hyperlink"/>
      <w:u w:val="single"/>
    </w:rPr>
  </w:style>
  <w:style w:type="character" w:customStyle="1" w:styleId="Nevyrieenzmienka1">
    <w:name w:val="Nevyriešená zmienka1"/>
    <w:basedOn w:val="Predvolenpsmoodseku"/>
    <w:uiPriority w:val="99"/>
    <w:semiHidden/>
    <w:unhideWhenUsed/>
    <w:rsid w:val="00AC54AD"/>
    <w:rPr>
      <w:color w:val="605E5C"/>
      <w:shd w:val="clear" w:color="auto" w:fill="E1DFDD"/>
    </w:rPr>
  </w:style>
  <w:style w:type="paragraph" w:styleId="Textpoznmkypodiarou">
    <w:name w:val="footnote text"/>
    <w:basedOn w:val="Normlny"/>
    <w:link w:val="TextpoznmkypodiarouChar"/>
    <w:uiPriority w:val="99"/>
    <w:semiHidden/>
    <w:unhideWhenUsed/>
    <w:rsid w:val="00AC54AD"/>
    <w:pPr>
      <w:spacing w:after="0" w:line="240" w:lineRule="auto"/>
    </w:pPr>
    <w:rPr>
      <w:sz w:val="20"/>
      <w:szCs w:val="20"/>
    </w:rPr>
  </w:style>
  <w:style w:type="character" w:customStyle="1" w:styleId="TextpoznmkypodiarouChar">
    <w:name w:val="Text poznámky pod čiarou Char"/>
    <w:basedOn w:val="Predvolenpsmoodseku"/>
    <w:link w:val="Textpoznmkypodiarou"/>
    <w:uiPriority w:val="99"/>
    <w:semiHidden/>
    <w:rsid w:val="00AC54AD"/>
    <w:rPr>
      <w:sz w:val="20"/>
      <w:szCs w:val="20"/>
    </w:rPr>
  </w:style>
  <w:style w:type="character" w:styleId="Odkaznapoznmkupodiarou">
    <w:name w:val="footnote reference"/>
    <w:aliases w:val="Footnote symbol,Footnote reference number"/>
    <w:basedOn w:val="Predvolenpsmoodseku"/>
    <w:semiHidden/>
    <w:unhideWhenUsed/>
    <w:rsid w:val="00AC54AD"/>
    <w:rPr>
      <w:vertAlign w:val="superscript"/>
    </w:rPr>
  </w:style>
  <w:style w:type="character" w:styleId="Odkaznakomentr">
    <w:name w:val="annotation reference"/>
    <w:basedOn w:val="Predvolenpsmoodseku"/>
    <w:uiPriority w:val="99"/>
    <w:semiHidden/>
    <w:unhideWhenUsed/>
    <w:rsid w:val="00B371DC"/>
    <w:rPr>
      <w:sz w:val="16"/>
      <w:szCs w:val="16"/>
    </w:rPr>
  </w:style>
  <w:style w:type="paragraph" w:styleId="Textkomentra">
    <w:name w:val="annotation text"/>
    <w:basedOn w:val="Normlny"/>
    <w:link w:val="TextkomentraChar"/>
    <w:uiPriority w:val="99"/>
    <w:unhideWhenUsed/>
    <w:rsid w:val="00B371DC"/>
    <w:pPr>
      <w:spacing w:line="240" w:lineRule="auto"/>
    </w:pPr>
    <w:rPr>
      <w:sz w:val="20"/>
      <w:szCs w:val="20"/>
    </w:rPr>
  </w:style>
  <w:style w:type="character" w:customStyle="1" w:styleId="TextkomentraChar">
    <w:name w:val="Text komentára Char"/>
    <w:basedOn w:val="Predvolenpsmoodseku"/>
    <w:link w:val="Textkomentra"/>
    <w:uiPriority w:val="99"/>
    <w:rsid w:val="00B371DC"/>
    <w:rPr>
      <w:sz w:val="20"/>
      <w:szCs w:val="20"/>
    </w:rPr>
  </w:style>
  <w:style w:type="paragraph" w:styleId="Predmetkomentra">
    <w:name w:val="annotation subject"/>
    <w:basedOn w:val="Textkomentra"/>
    <w:next w:val="Textkomentra"/>
    <w:link w:val="PredmetkomentraChar"/>
    <w:uiPriority w:val="99"/>
    <w:semiHidden/>
    <w:unhideWhenUsed/>
    <w:rsid w:val="00B371DC"/>
    <w:rPr>
      <w:b/>
      <w:bCs/>
    </w:rPr>
  </w:style>
  <w:style w:type="character" w:customStyle="1" w:styleId="PredmetkomentraChar">
    <w:name w:val="Predmet komentára Char"/>
    <w:basedOn w:val="TextkomentraChar"/>
    <w:link w:val="Predmetkomentra"/>
    <w:uiPriority w:val="99"/>
    <w:semiHidden/>
    <w:rsid w:val="00B371DC"/>
    <w:rPr>
      <w:b/>
      <w:bCs/>
      <w:sz w:val="20"/>
      <w:szCs w:val="20"/>
    </w:rPr>
  </w:style>
  <w:style w:type="character" w:customStyle="1" w:styleId="awspanawtext3">
    <w:name w:val="awspan awtext3"/>
    <w:basedOn w:val="Predvolenpsmoodseku"/>
    <w:rsid w:val="00802CF3"/>
  </w:style>
  <w:style w:type="paragraph" w:styleId="Revzia">
    <w:name w:val="Revision"/>
    <w:hidden/>
    <w:uiPriority w:val="99"/>
    <w:semiHidden/>
    <w:rsid w:val="0038609F"/>
    <w:pPr>
      <w:spacing w:after="0" w:line="240" w:lineRule="auto"/>
    </w:pPr>
  </w:style>
  <w:style w:type="character" w:customStyle="1" w:styleId="Nadpis1Char">
    <w:name w:val="Nadpis 1 Char"/>
    <w:basedOn w:val="Predvolenpsmoodseku"/>
    <w:link w:val="Nadpis1"/>
    <w:uiPriority w:val="9"/>
    <w:rsid w:val="00BC7DC5"/>
    <w:rPr>
      <w:rFonts w:ascii="Times New Roman" w:eastAsia="Times New Roman" w:hAnsi="Times New Roman" w:cs="Times New Roman"/>
      <w:b/>
      <w:bCs/>
      <w:kern w:val="36"/>
      <w:sz w:val="48"/>
      <w:szCs w:val="48"/>
      <w:lang w:eastAsia="sk-SK"/>
    </w:rPr>
  </w:style>
  <w:style w:type="character" w:customStyle="1" w:styleId="Nadpis2Char">
    <w:name w:val="Nadpis 2 Char"/>
    <w:basedOn w:val="Predvolenpsmoodseku"/>
    <w:link w:val="Nadpis2"/>
    <w:uiPriority w:val="9"/>
    <w:semiHidden/>
    <w:rsid w:val="00BC7DC5"/>
    <w:rPr>
      <w:rFonts w:ascii="Calibri" w:eastAsia="Calibri" w:hAnsi="Calibri" w:cs="Calibri"/>
      <w:b/>
      <w:sz w:val="36"/>
      <w:szCs w:val="36"/>
      <w:lang w:eastAsia="sk-SK"/>
    </w:rPr>
  </w:style>
  <w:style w:type="character" w:customStyle="1" w:styleId="Nadpis3Char">
    <w:name w:val="Nadpis 3 Char"/>
    <w:basedOn w:val="Predvolenpsmoodseku"/>
    <w:link w:val="Nadpis3"/>
    <w:uiPriority w:val="9"/>
    <w:semiHidden/>
    <w:rsid w:val="00BC7DC5"/>
    <w:rPr>
      <w:rFonts w:ascii="Times New Roman" w:eastAsia="Times New Roman" w:hAnsi="Times New Roman" w:cs="Times New Roman"/>
      <w:b/>
      <w:bCs/>
      <w:sz w:val="27"/>
      <w:szCs w:val="27"/>
      <w:lang w:eastAsia="sk-SK"/>
    </w:rPr>
  </w:style>
  <w:style w:type="character" w:customStyle="1" w:styleId="Nadpis4Char">
    <w:name w:val="Nadpis 4 Char"/>
    <w:basedOn w:val="Predvolenpsmoodseku"/>
    <w:link w:val="Nadpis4"/>
    <w:uiPriority w:val="9"/>
    <w:semiHidden/>
    <w:rsid w:val="00BC7DC5"/>
    <w:rPr>
      <w:rFonts w:ascii="Times New Roman" w:eastAsia="Times New Roman" w:hAnsi="Times New Roman" w:cs="Times New Roman"/>
      <w:b/>
      <w:bCs/>
      <w:sz w:val="24"/>
      <w:szCs w:val="24"/>
      <w:lang w:eastAsia="sk-SK"/>
    </w:rPr>
  </w:style>
  <w:style w:type="character" w:customStyle="1" w:styleId="Nadpis5Char">
    <w:name w:val="Nadpis 5 Char"/>
    <w:basedOn w:val="Predvolenpsmoodseku"/>
    <w:link w:val="Nadpis5"/>
    <w:uiPriority w:val="9"/>
    <w:semiHidden/>
    <w:rsid w:val="00BC7DC5"/>
    <w:rPr>
      <w:rFonts w:ascii="Calibri" w:eastAsia="Calibri" w:hAnsi="Calibri" w:cs="Calibri"/>
      <w:b/>
      <w:lang w:eastAsia="sk-SK"/>
    </w:rPr>
  </w:style>
  <w:style w:type="character" w:customStyle="1" w:styleId="Nadpis6Char">
    <w:name w:val="Nadpis 6 Char"/>
    <w:basedOn w:val="Predvolenpsmoodseku"/>
    <w:link w:val="Nadpis6"/>
    <w:uiPriority w:val="9"/>
    <w:semiHidden/>
    <w:rsid w:val="00BC7DC5"/>
    <w:rPr>
      <w:rFonts w:ascii="Calibri" w:eastAsia="Calibri" w:hAnsi="Calibri" w:cs="Calibri"/>
      <w:b/>
      <w:sz w:val="20"/>
      <w:szCs w:val="20"/>
      <w:lang w:eastAsia="sk-SK"/>
    </w:rPr>
  </w:style>
  <w:style w:type="table" w:customStyle="1" w:styleId="TableNormal0">
    <w:name w:val="Table Normal"/>
    <w:rsid w:val="00BC7DC5"/>
    <w:tblPr>
      <w:tblCellMar>
        <w:top w:w="0" w:type="dxa"/>
        <w:left w:w="0" w:type="dxa"/>
        <w:bottom w:w="0" w:type="dxa"/>
        <w:right w:w="0" w:type="dxa"/>
      </w:tblCellMar>
    </w:tblPr>
  </w:style>
  <w:style w:type="character" w:customStyle="1" w:styleId="NzovChar">
    <w:name w:val="Názov Char"/>
    <w:basedOn w:val="Predvolenpsmoodseku"/>
    <w:link w:val="Nzov"/>
    <w:uiPriority w:val="10"/>
    <w:rsid w:val="00BC7DC5"/>
    <w:rPr>
      <w:rFonts w:ascii="Calibri" w:eastAsia="Calibri" w:hAnsi="Calibri" w:cs="Calibri"/>
      <w:b/>
      <w:sz w:val="72"/>
      <w:szCs w:val="72"/>
      <w:lang w:eastAsia="sk-SK"/>
    </w:rPr>
  </w:style>
  <w:style w:type="character" w:customStyle="1" w:styleId="awspan1">
    <w:name w:val="awspan1"/>
    <w:basedOn w:val="Predvolenpsmoodseku"/>
    <w:rsid w:val="00BC7DC5"/>
    <w:rPr>
      <w:color w:val="000000"/>
      <w:sz w:val="24"/>
      <w:szCs w:val="24"/>
    </w:rPr>
  </w:style>
  <w:style w:type="character" w:styleId="Zstupntext">
    <w:name w:val="Placeholder Text"/>
    <w:basedOn w:val="Predvolenpsmoodseku"/>
    <w:uiPriority w:val="99"/>
    <w:rsid w:val="00BC7DC5"/>
    <w:rPr>
      <w:color w:val="808080"/>
    </w:rPr>
  </w:style>
  <w:style w:type="character" w:customStyle="1" w:styleId="norm00e1lnychar1">
    <w:name w:val="norm_00e1lny__char1"/>
    <w:rsid w:val="00BC7DC5"/>
    <w:rPr>
      <w:rFonts w:ascii="Times New Roman" w:hAnsi="Times New Roman" w:cs="Times New Roman"/>
      <w:strike w:val="0"/>
      <w:dstrike w:val="0"/>
      <w:sz w:val="20"/>
      <w:szCs w:val="20"/>
      <w:u w:val="none"/>
      <w:effect w:val="none"/>
    </w:rPr>
  </w:style>
  <w:style w:type="character" w:customStyle="1" w:styleId="z00e1kladn00fd0020textchar1">
    <w:name w:val="z_00e1kladn_00fd_0020text__char1"/>
    <w:rsid w:val="00BC7DC5"/>
    <w:rPr>
      <w:rFonts w:ascii="Times New Roman" w:hAnsi="Times New Roman" w:cs="Times New Roman"/>
      <w:strike w:val="0"/>
      <w:dstrike w:val="0"/>
      <w:sz w:val="20"/>
      <w:szCs w:val="20"/>
      <w:u w:val="none"/>
      <w:effect w:val="none"/>
    </w:rPr>
  </w:style>
  <w:style w:type="paragraph" w:customStyle="1" w:styleId="norm00e1lny">
    <w:name w:val="norm_00e1lny"/>
    <w:basedOn w:val="Normlny"/>
    <w:rsid w:val="00BC7DC5"/>
    <w:pPr>
      <w:spacing w:after="0" w:line="200" w:lineRule="atLeast"/>
    </w:pPr>
    <w:rPr>
      <w:rFonts w:ascii="Times New Roman" w:eastAsia="Times New Roman" w:hAnsi="Times New Roman" w:cs="Times New Roman"/>
      <w:sz w:val="20"/>
      <w:szCs w:val="20"/>
    </w:rPr>
  </w:style>
  <w:style w:type="paragraph" w:customStyle="1" w:styleId="z00e1kladn00fd0020text">
    <w:name w:val="z_00e1kladn_00fd_0020text"/>
    <w:basedOn w:val="Normlny"/>
    <w:rsid w:val="00BC7DC5"/>
    <w:pPr>
      <w:spacing w:after="120" w:line="200" w:lineRule="atLeast"/>
    </w:pPr>
    <w:rPr>
      <w:rFonts w:ascii="Times New Roman" w:eastAsia="Times New Roman" w:hAnsi="Times New Roman" w:cs="Times New Roman"/>
      <w:sz w:val="20"/>
      <w:szCs w:val="20"/>
    </w:rPr>
  </w:style>
  <w:style w:type="paragraph" w:styleId="Zarkazkladnhotextu2">
    <w:name w:val="Body Text Indent 2"/>
    <w:basedOn w:val="Normlny"/>
    <w:link w:val="Zarkazkladnhotextu2Char"/>
    <w:semiHidden/>
    <w:rsid w:val="00BC7DC5"/>
    <w:pPr>
      <w:spacing w:after="0" w:line="240" w:lineRule="auto"/>
      <w:ind w:firstLine="708"/>
      <w:jc w:val="both"/>
    </w:pPr>
    <w:rPr>
      <w:rFonts w:ascii="Times New Roman" w:eastAsia="Times New Roman" w:hAnsi="Times New Roman" w:cs="Times New Roman"/>
      <w:bCs/>
      <w:sz w:val="24"/>
      <w:szCs w:val="24"/>
    </w:rPr>
  </w:style>
  <w:style w:type="character" w:customStyle="1" w:styleId="Zarkazkladnhotextu2Char">
    <w:name w:val="Zarážka základného textu 2 Char"/>
    <w:basedOn w:val="Predvolenpsmoodseku"/>
    <w:link w:val="Zarkazkladnhotextu2"/>
    <w:semiHidden/>
    <w:rsid w:val="00BC7DC5"/>
    <w:rPr>
      <w:rFonts w:ascii="Times New Roman" w:eastAsia="Times New Roman" w:hAnsi="Times New Roman" w:cs="Times New Roman"/>
      <w:bCs/>
      <w:sz w:val="24"/>
      <w:szCs w:val="24"/>
      <w:lang w:eastAsia="sk-SK"/>
    </w:rPr>
  </w:style>
  <w:style w:type="character" w:styleId="slostrany">
    <w:name w:val="page number"/>
    <w:basedOn w:val="Predvolenpsmoodseku"/>
    <w:uiPriority w:val="99"/>
    <w:rsid w:val="00BC7DC5"/>
    <w:rPr>
      <w:rFonts w:cs="Times New Roman"/>
    </w:rPr>
  </w:style>
  <w:style w:type="character" w:customStyle="1" w:styleId="markedcontent">
    <w:name w:val="markedcontent"/>
    <w:basedOn w:val="Predvolenpsmoodseku"/>
    <w:rsid w:val="00BC7DC5"/>
  </w:style>
  <w:style w:type="paragraph" w:styleId="Podtitul">
    <w:name w:val="Subtitle"/>
    <w:basedOn w:val="Normlny"/>
    <w:next w:val="Normlny"/>
    <w:link w:val="PodtitulChar"/>
    <w:uiPriority w:val="11"/>
    <w:qFormat/>
    <w:pPr>
      <w:keepNext/>
      <w:keepLines/>
      <w:spacing w:before="360" w:after="80"/>
    </w:pPr>
    <w:rPr>
      <w:rFonts w:ascii="Georgia" w:eastAsia="Georgia" w:hAnsi="Georgia" w:cs="Georgia"/>
      <w:i/>
      <w:color w:val="666666"/>
      <w:sz w:val="48"/>
      <w:szCs w:val="48"/>
    </w:rPr>
  </w:style>
  <w:style w:type="character" w:customStyle="1" w:styleId="PodtitulChar">
    <w:name w:val="Podtitul Char"/>
    <w:basedOn w:val="Predvolenpsmoodseku"/>
    <w:link w:val="Podtitul"/>
    <w:uiPriority w:val="11"/>
    <w:rsid w:val="00BC7DC5"/>
    <w:rPr>
      <w:rFonts w:ascii="Georgia" w:eastAsia="Georgia" w:hAnsi="Georgia" w:cs="Georgia"/>
      <w:i/>
      <w:color w:val="666666"/>
      <w:sz w:val="48"/>
      <w:szCs w:val="48"/>
      <w:lang w:eastAsia="sk-SK"/>
    </w:rPr>
  </w:style>
  <w:style w:type="character" w:customStyle="1" w:styleId="Nevyrieenzmienka2">
    <w:name w:val="Nevyriešená zmienka2"/>
    <w:basedOn w:val="Predvolenpsmoodseku"/>
    <w:uiPriority w:val="99"/>
    <w:semiHidden/>
    <w:unhideWhenUsed/>
    <w:rsid w:val="00285D18"/>
    <w:rPr>
      <w:color w:val="605E5C"/>
      <w:shd w:val="clear" w:color="auto" w:fill="E1DFDD"/>
    </w:rPr>
  </w:style>
  <w:style w:type="character" w:customStyle="1" w:styleId="Nevyrieenzmienka3">
    <w:name w:val="Nevyriešená zmienka3"/>
    <w:basedOn w:val="Predvolenpsmoodseku"/>
    <w:uiPriority w:val="99"/>
    <w:semiHidden/>
    <w:unhideWhenUsed/>
    <w:rsid w:val="00473D7F"/>
    <w:rPr>
      <w:color w:val="605E5C"/>
      <w:shd w:val="clear" w:color="auto" w:fill="E1DFDD"/>
    </w:rPr>
  </w:style>
  <w:style w:type="table" w:customStyle="1" w:styleId="a">
    <w:basedOn w:val="TableNormal0"/>
    <w:pPr>
      <w:spacing w:after="0" w:line="240" w:lineRule="auto"/>
    </w:pPr>
    <w:tblPr>
      <w:tblStyleRowBandSize w:val="1"/>
      <w:tblStyleColBandSize w:val="1"/>
      <w:tblCellMar>
        <w:left w:w="108" w:type="dxa"/>
        <w:right w:w="108" w:type="dxa"/>
      </w:tblCellMar>
    </w:tblPr>
  </w:style>
  <w:style w:type="table" w:customStyle="1" w:styleId="a0">
    <w:basedOn w:val="TableNormal0"/>
    <w:tblPr>
      <w:tblStyleRowBandSize w:val="1"/>
      <w:tblStyleColBandSize w:val="1"/>
      <w:tblCellMar>
        <w:left w:w="115" w:type="dxa"/>
        <w:right w:w="115" w:type="dxa"/>
      </w:tblCellMar>
    </w:tblPr>
  </w:style>
  <w:style w:type="table" w:customStyle="1" w:styleId="a1">
    <w:basedOn w:val="TableNormal0"/>
    <w:tblPr>
      <w:tblStyleRowBandSize w:val="1"/>
      <w:tblStyleColBandSize w:val="1"/>
      <w:tblCellMar>
        <w:left w:w="115" w:type="dxa"/>
        <w:right w:w="115" w:type="dxa"/>
      </w:tblCellMar>
    </w:tblPr>
  </w:style>
  <w:style w:type="table" w:customStyle="1" w:styleId="a2">
    <w:basedOn w:val="TableNormal0"/>
    <w:pPr>
      <w:spacing w:after="0" w:line="240" w:lineRule="auto"/>
    </w:pPr>
    <w:tblPr>
      <w:tblStyleRowBandSize w:val="1"/>
      <w:tblStyleColBandSize w:val="1"/>
      <w:tblCellMar>
        <w:left w:w="108" w:type="dxa"/>
        <w:right w:w="108" w:type="dxa"/>
      </w:tblCellMar>
    </w:tblPr>
  </w:style>
  <w:style w:type="table" w:customStyle="1" w:styleId="a3">
    <w:basedOn w:val="TableNormal0"/>
    <w:pPr>
      <w:spacing w:after="0" w:line="240" w:lineRule="auto"/>
    </w:pPr>
    <w:tblPr>
      <w:tblStyleRowBandSize w:val="1"/>
      <w:tblStyleColBandSize w:val="1"/>
      <w:tblCellMar>
        <w:left w:w="108" w:type="dxa"/>
        <w:right w:w="108" w:type="dxa"/>
      </w:tblCellMar>
    </w:tblPr>
  </w:style>
  <w:style w:type="table" w:customStyle="1" w:styleId="a4">
    <w:basedOn w:val="TableNormal0"/>
    <w:pPr>
      <w:spacing w:after="0" w:line="240" w:lineRule="auto"/>
    </w:pPr>
    <w:tblPr>
      <w:tblStyleRowBandSize w:val="1"/>
      <w:tblStyleColBandSize w:val="1"/>
      <w:tblCellMar>
        <w:left w:w="108" w:type="dxa"/>
        <w:right w:w="108" w:type="dxa"/>
      </w:tblCellMar>
    </w:tblPr>
  </w:style>
  <w:style w:type="table" w:customStyle="1" w:styleId="a5">
    <w:basedOn w:val="TableNormal0"/>
    <w:pPr>
      <w:spacing w:after="0" w:line="240" w:lineRule="auto"/>
    </w:pPr>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slov-lex.sk/elegislativa/legislativne-procesy/SK/LP/2025/281" TargetMode="External"/><Relationship Id="rId13" Type="http://schemas.openxmlformats.org/officeDocument/2006/relationships/hyperlink" Target="mailto:dolozka355@uvzsr.sk" TargetMode="External"/><Relationship Id="rId18" Type="http://schemas.openxmlformats.org/officeDocument/2006/relationships/hyperlink" Target="https://datacube.statistics.sk/"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mailto:dolozka355@uvzsr.sk" TargetMode="External"/><Relationship Id="rId17" Type="http://schemas.openxmlformats.org/officeDocument/2006/relationships/hyperlink" Target="https://www.uvzsr.sk/documents/d/uvz/vs-ruvz-za-rok-2023-final-pdf" TargetMode="External"/><Relationship Id="rId2" Type="http://schemas.openxmlformats.org/officeDocument/2006/relationships/numbering" Target="numbering.xml"/><Relationship Id="rId16" Type="http://schemas.openxmlformats.org/officeDocument/2006/relationships/hyperlink" Target="https://www.sbagency.sk/sites/default/files/komplexny_audit_povinnosti_msp_v_oblasti_bozp.pdf"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slov-lex.sk/elegislativa/legislativne-procesy/SK/LP/2025/280" TargetMode="External"/><Relationship Id="rId5" Type="http://schemas.openxmlformats.org/officeDocument/2006/relationships/webSettings" Target="webSettings.xml"/><Relationship Id="rId15" Type="http://schemas.openxmlformats.org/officeDocument/2006/relationships/hyperlink" Target="https://www.uvzsr.sk/web/uvz/zoznam-fyzickych-osob-podnikatelov-a-pravnickych-osob-ktorym-bolo-vydane-odobrate-alebo-zmenene-opravnenie-na-odstranovanie-azbestu-alebo-materialov-obsahujucich-azbest-zo-stavieb" TargetMode="External"/><Relationship Id="rId10" Type="http://schemas.openxmlformats.org/officeDocument/2006/relationships/hyperlink" Target="https://www.slov-lex.sk/elegislativa/legislativne-procesy/SK/LP/2025/280" TargetMode="Externa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www.slov-lex.sk/elegislativa/legislativne-procesy/SK/LP/2025/281" TargetMode="External"/><Relationship Id="rId14" Type="http://schemas.openxmlformats.org/officeDocument/2006/relationships/hyperlink" Target="https://datacube.statistics.sk/?fbclid=IwAR2K14kXrSgRjgtf8BSgINteeiX2adI0JPJlSSw7873" TargetMode="Externa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Motív balíka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pFmE78Yg8U0f2cGpHoj89QeALTQ==">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9</Pages>
  <Words>3543</Words>
  <Characters>20199</Characters>
  <Application>Microsoft Office Word</Application>
  <DocSecurity>0</DocSecurity>
  <Lines>168</Lines>
  <Paragraphs>47</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23695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Drienikova Kristina</dc:creator>
  <cp:lastModifiedBy>Kidala Viktor</cp:lastModifiedBy>
  <cp:revision>3</cp:revision>
  <cp:lastPrinted>2026-03-23T06:40:00Z</cp:lastPrinted>
  <dcterms:created xsi:type="dcterms:W3CDTF">2026-03-23T06:41:00Z</dcterms:created>
  <dcterms:modified xsi:type="dcterms:W3CDTF">2026-03-24T11:53:00Z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SC#SKEDITIONSLOVLEX@103.510:spravaucastverej">
    <vt:lpwstr/>
  </property>
  <property fmtid="{D5CDD505-2E9C-101B-9397-08002B2CF9AE}" pid="3" name="FSC#SKEDITIONSLOVLEX@103.510:typpredpis">
    <vt:lpwstr>Nelegislatívny všeobecný materiál</vt:lpwstr>
  </property>
  <property fmtid="{D5CDD505-2E9C-101B-9397-08002B2CF9AE}" pid="4" name="FSC#SKEDITIONSLOVLEX@103.510:aktualnyrok">
    <vt:lpwstr>2020</vt:lpwstr>
  </property>
  <property fmtid="{D5CDD505-2E9C-101B-9397-08002B2CF9AE}" pid="5" name="FSC#SKEDITIONSLOVLEX@103.510:cisloparlamenttlac">
    <vt:lpwstr/>
  </property>
  <property fmtid="{D5CDD505-2E9C-101B-9397-08002B2CF9AE}" pid="6" name="FSC#SKEDITIONSLOVLEX@103.510:stavpredpis">
    <vt:lpwstr>Medzirezortné pripomienkové konanie</vt:lpwstr>
  </property>
  <property fmtid="{D5CDD505-2E9C-101B-9397-08002B2CF9AE}" pid="7" name="FSC#SKEDITIONSLOVLEX@103.510:povodpredpis">
    <vt:lpwstr>Slovlex (eLeg)</vt:lpwstr>
  </property>
  <property fmtid="{D5CDD505-2E9C-101B-9397-08002B2CF9AE}" pid="8" name="FSC#SKEDITIONSLOVLEX@103.510:legoblast">
    <vt:lpwstr>Nelegislatívna oblasť</vt:lpwstr>
  </property>
  <property fmtid="{D5CDD505-2E9C-101B-9397-08002B2CF9AE}" pid="9" name="FSC#SKEDITIONSLOVLEX@103.510:uzemplat">
    <vt:lpwstr/>
  </property>
  <property fmtid="{D5CDD505-2E9C-101B-9397-08002B2CF9AE}" pid="10" name="FSC#SKEDITIONSLOVLEX@103.510:vztahypredpis">
    <vt:lpwstr/>
  </property>
  <property fmtid="{D5CDD505-2E9C-101B-9397-08002B2CF9AE}" pid="11" name="FSC#SKEDITIONSLOVLEX@103.510:predkladatel">
    <vt:lpwstr>Kristína Drieniková</vt:lpwstr>
  </property>
  <property fmtid="{D5CDD505-2E9C-101B-9397-08002B2CF9AE}" pid="12" name="FSC#SKEDITIONSLOVLEX@103.510:zodppredkladatel">
    <vt:lpwstr>Ing. Richard Sulík</vt:lpwstr>
  </property>
  <property fmtid="{D5CDD505-2E9C-101B-9397-08002B2CF9AE}" pid="13" name="FSC#SKEDITIONSLOVLEX@103.510:dalsipredkladatel">
    <vt:lpwstr/>
  </property>
  <property fmtid="{D5CDD505-2E9C-101B-9397-08002B2CF9AE}" pid="14" name="FSC#SKEDITIONSLOVLEX@103.510:nazovpredpis">
    <vt:lpwstr>Návrh aktualizácie Jednotnej metodiky na posudzovanie vybraných vplyvov</vt:lpwstr>
  </property>
  <property fmtid="{D5CDD505-2E9C-101B-9397-08002B2CF9AE}" pid="15" name="FSC#SKEDITIONSLOVLEX@103.510:nazovpredpis1">
    <vt:lpwstr/>
  </property>
  <property fmtid="{D5CDD505-2E9C-101B-9397-08002B2CF9AE}" pid="16" name="FSC#SKEDITIONSLOVLEX@103.510:nazovpredpis2">
    <vt:lpwstr/>
  </property>
  <property fmtid="{D5CDD505-2E9C-101B-9397-08002B2CF9AE}" pid="17" name="FSC#SKEDITIONSLOVLEX@103.510:nazovpredpis3">
    <vt:lpwstr/>
  </property>
  <property fmtid="{D5CDD505-2E9C-101B-9397-08002B2CF9AE}" pid="18" name="FSC#SKEDITIONSLOVLEX@103.510:cislopredpis">
    <vt:lpwstr/>
  </property>
  <property fmtid="{D5CDD505-2E9C-101B-9397-08002B2CF9AE}" pid="19" name="FSC#SKEDITIONSLOVLEX@103.510:zodpinstitucia">
    <vt:lpwstr>Ministerstvo hospodárstva Slovenskej republiky</vt:lpwstr>
  </property>
  <property fmtid="{D5CDD505-2E9C-101B-9397-08002B2CF9AE}" pid="20" name="FSC#SKEDITIONSLOVLEX@103.510:pripomienkovatelia">
    <vt:lpwstr/>
  </property>
  <property fmtid="{D5CDD505-2E9C-101B-9397-08002B2CF9AE}" pid="21" name="FSC#SKEDITIONSLOVLEX@103.510:autorpredpis">
    <vt:lpwstr/>
  </property>
  <property fmtid="{D5CDD505-2E9C-101B-9397-08002B2CF9AE}" pid="22" name="FSC#SKEDITIONSLOVLEX@103.510:podnetpredpis">
    <vt:lpwstr>Úloha B.3 uznesenia vlády SR č. 32/2018_x000d_
Programové vyhlásenie vlády Slovenskej republiky</vt:lpwstr>
  </property>
  <property fmtid="{D5CDD505-2E9C-101B-9397-08002B2CF9AE}" pid="23" name="FSC#SKEDITIONSLOVLEX@103.510:plnynazovpredpis">
    <vt:lpwstr>Návrh aktualizácie Jednotnej metodiky na posudzovanie vybraných vplyvov</vt:lpwstr>
  </property>
  <property fmtid="{D5CDD505-2E9C-101B-9397-08002B2CF9AE}" pid="24" name="FSC#SKEDITIONSLOVLEX@103.510:plnynazovpredpis1">
    <vt:lpwstr/>
  </property>
  <property fmtid="{D5CDD505-2E9C-101B-9397-08002B2CF9AE}" pid="25" name="FSC#SKEDITIONSLOVLEX@103.510:plnynazovpredpis2">
    <vt:lpwstr/>
  </property>
  <property fmtid="{D5CDD505-2E9C-101B-9397-08002B2CF9AE}" pid="26" name="FSC#SKEDITIONSLOVLEX@103.510:plnynazovpredpis3">
    <vt:lpwstr/>
  </property>
  <property fmtid="{D5CDD505-2E9C-101B-9397-08002B2CF9AE}" pid="27" name="FSC#SKEDITIONSLOVLEX@103.510:rezortcislopredpis">
    <vt:lpwstr>32473/2020-3040-105289</vt:lpwstr>
  </property>
  <property fmtid="{D5CDD505-2E9C-101B-9397-08002B2CF9AE}" pid="28" name="FSC#SKEDITIONSLOVLEX@103.510:citaciapredpis">
    <vt:lpwstr/>
  </property>
  <property fmtid="{D5CDD505-2E9C-101B-9397-08002B2CF9AE}" pid="29" name="FSC#SKEDITIONSLOVLEX@103.510:spiscislouv">
    <vt:lpwstr/>
  </property>
  <property fmtid="{D5CDD505-2E9C-101B-9397-08002B2CF9AE}" pid="30" name="FSC#SKEDITIONSLOVLEX@103.510:datumschvalpredpis">
    <vt:lpwstr/>
  </property>
  <property fmtid="{D5CDD505-2E9C-101B-9397-08002B2CF9AE}" pid="31" name="FSC#SKEDITIONSLOVLEX@103.510:platneod">
    <vt:lpwstr/>
  </property>
  <property fmtid="{D5CDD505-2E9C-101B-9397-08002B2CF9AE}" pid="32" name="FSC#SKEDITIONSLOVLEX@103.510:platnedo">
    <vt:lpwstr/>
  </property>
  <property fmtid="{D5CDD505-2E9C-101B-9397-08002B2CF9AE}" pid="33" name="FSC#SKEDITIONSLOVLEX@103.510:ucinnostod">
    <vt:lpwstr/>
  </property>
  <property fmtid="{D5CDD505-2E9C-101B-9397-08002B2CF9AE}" pid="34" name="FSC#SKEDITIONSLOVLEX@103.510:ucinnostdo">
    <vt:lpwstr/>
  </property>
  <property fmtid="{D5CDD505-2E9C-101B-9397-08002B2CF9AE}" pid="35" name="FSC#SKEDITIONSLOVLEX@103.510:datumplatnosti">
    <vt:lpwstr/>
  </property>
  <property fmtid="{D5CDD505-2E9C-101B-9397-08002B2CF9AE}" pid="36" name="FSC#SKEDITIONSLOVLEX@103.510:cislolp">
    <vt:lpwstr>LP/2020/509</vt:lpwstr>
  </property>
  <property fmtid="{D5CDD505-2E9C-101B-9397-08002B2CF9AE}" pid="37" name="FSC#SKEDITIONSLOVLEX@103.510:typsprievdok">
    <vt:lpwstr>Príloha všeobecná</vt:lpwstr>
  </property>
  <property fmtid="{D5CDD505-2E9C-101B-9397-08002B2CF9AE}" pid="38" name="FSC#SKEDITIONSLOVLEX@103.510:cislopartlac">
    <vt:lpwstr/>
  </property>
  <property fmtid="{D5CDD505-2E9C-101B-9397-08002B2CF9AE}" pid="39" name="FSC#SKEDITIONSLOVLEX@103.510:AttrStrListDocPropUcelPredmetZmluvy">
    <vt:lpwstr/>
  </property>
  <property fmtid="{D5CDD505-2E9C-101B-9397-08002B2CF9AE}" pid="40" name="FSC#SKEDITIONSLOVLEX@103.510:AttrStrListDocPropUpravaPravFOPRO">
    <vt:lpwstr/>
  </property>
  <property fmtid="{D5CDD505-2E9C-101B-9397-08002B2CF9AE}" pid="41" name="FSC#SKEDITIONSLOVLEX@103.510:AttrStrListDocPropUpravaPredmetuZmluvy">
    <vt:lpwstr/>
  </property>
  <property fmtid="{D5CDD505-2E9C-101B-9397-08002B2CF9AE}" pid="42" name="FSC#SKEDITIONSLOVLEX@103.510:AttrStrListDocPropKategoriaZmluvy74">
    <vt:lpwstr/>
  </property>
  <property fmtid="{D5CDD505-2E9C-101B-9397-08002B2CF9AE}" pid="43" name="FSC#SKEDITIONSLOVLEX@103.510:AttrStrListDocPropKategoriaZmluvy75">
    <vt:lpwstr/>
  </property>
  <property fmtid="{D5CDD505-2E9C-101B-9397-08002B2CF9AE}" pid="44" name="FSC#SKEDITIONSLOVLEX@103.510:AttrStrListDocPropDopadyPrijatiaZmluvy">
    <vt:lpwstr/>
  </property>
  <property fmtid="{D5CDD505-2E9C-101B-9397-08002B2CF9AE}" pid="45" name="FSC#SKEDITIONSLOVLEX@103.510:AttrStrListDocPropProblematikaPPa">
    <vt:lpwstr/>
  </property>
  <property fmtid="{D5CDD505-2E9C-101B-9397-08002B2CF9AE}" pid="46" name="FSC#SKEDITIONSLOVLEX@103.510:AttrStrListDocPropPrimarnePravoEU">
    <vt:lpwstr/>
  </property>
  <property fmtid="{D5CDD505-2E9C-101B-9397-08002B2CF9AE}" pid="47" name="FSC#SKEDITIONSLOVLEX@103.510:AttrStrListDocPropSekundarneLegPravoPO">
    <vt:lpwstr/>
  </property>
  <property fmtid="{D5CDD505-2E9C-101B-9397-08002B2CF9AE}" pid="48" name="FSC#SKEDITIONSLOVLEX@103.510:AttrStrListDocPropSekundarneNelegPravoPO">
    <vt:lpwstr/>
  </property>
  <property fmtid="{D5CDD505-2E9C-101B-9397-08002B2CF9AE}" pid="49" name="FSC#SKEDITIONSLOVLEX@103.510:AttrStrListDocPropSekundarneLegPravoDO">
    <vt:lpwstr/>
  </property>
  <property fmtid="{D5CDD505-2E9C-101B-9397-08002B2CF9AE}" pid="50" name="FSC#SKEDITIONSLOVLEX@103.510:AttrStrListDocPropProblematikaPPb">
    <vt:lpwstr/>
  </property>
  <property fmtid="{D5CDD505-2E9C-101B-9397-08002B2CF9AE}" pid="51" name="FSC#SKEDITIONSLOVLEX@103.510:AttrStrListDocPropNazovPredpisuEU">
    <vt:lpwstr/>
  </property>
  <property fmtid="{D5CDD505-2E9C-101B-9397-08002B2CF9AE}" pid="52" name="FSC#SKEDITIONSLOVLEX@103.510:AttrStrListDocPropLehotaPrebratieSmernice">
    <vt:lpwstr/>
  </property>
  <property fmtid="{D5CDD505-2E9C-101B-9397-08002B2CF9AE}" pid="53" name="FSC#SKEDITIONSLOVLEX@103.510:AttrStrListDocPropLehotaNaPredlozenie">
    <vt:lpwstr/>
  </property>
  <property fmtid="{D5CDD505-2E9C-101B-9397-08002B2CF9AE}" pid="54" name="FSC#SKEDITIONSLOVLEX@103.510:AttrStrListDocPropInfoZaciatokKonania">
    <vt:lpwstr/>
  </property>
  <property fmtid="{D5CDD505-2E9C-101B-9397-08002B2CF9AE}" pid="55" name="FSC#SKEDITIONSLOVLEX@103.510:AttrStrListDocPropInfoUzPreberanePP">
    <vt:lpwstr/>
  </property>
  <property fmtid="{D5CDD505-2E9C-101B-9397-08002B2CF9AE}" pid="56" name="FSC#SKEDITIONSLOVLEX@103.510:AttrStrListDocPropStupenZlucitelnostiPP">
    <vt:lpwstr/>
  </property>
  <property fmtid="{D5CDD505-2E9C-101B-9397-08002B2CF9AE}" pid="57" name="FSC#SKEDITIONSLOVLEX@103.510:AttrStrListDocPropGestorSpolupRezorty">
    <vt:lpwstr/>
  </property>
  <property fmtid="{D5CDD505-2E9C-101B-9397-08002B2CF9AE}" pid="58" name="FSC#SKEDITIONSLOVLEX@103.510:AttrDateDocPropZaciatokPKK">
    <vt:lpwstr/>
  </property>
  <property fmtid="{D5CDD505-2E9C-101B-9397-08002B2CF9AE}" pid="59" name="FSC#SKEDITIONSLOVLEX@103.510:AttrDateDocPropUkonceniePKK">
    <vt:lpwstr/>
  </property>
  <property fmtid="{D5CDD505-2E9C-101B-9397-08002B2CF9AE}" pid="60" name="FSC#SKEDITIONSLOVLEX@103.510:AttrStrDocPropVplyvRozpocetVS">
    <vt:lpwstr>Žiadne</vt:lpwstr>
  </property>
  <property fmtid="{D5CDD505-2E9C-101B-9397-08002B2CF9AE}" pid="61" name="FSC#SKEDITIONSLOVLEX@103.510:AttrStrDocPropVplyvPodnikatelskeProstr">
    <vt:lpwstr>Žiadne</vt:lpwstr>
  </property>
  <property fmtid="{D5CDD505-2E9C-101B-9397-08002B2CF9AE}" pid="62" name="FSC#SKEDITIONSLOVLEX@103.510:AttrStrDocPropVplyvSocialny">
    <vt:lpwstr>Žiadne</vt:lpwstr>
  </property>
  <property fmtid="{D5CDD505-2E9C-101B-9397-08002B2CF9AE}" pid="63" name="FSC#SKEDITIONSLOVLEX@103.510:AttrStrDocPropVplyvNaZivotProstr">
    <vt:lpwstr>Žiadne</vt:lpwstr>
  </property>
  <property fmtid="{D5CDD505-2E9C-101B-9397-08002B2CF9AE}" pid="64" name="FSC#SKEDITIONSLOVLEX@103.510:AttrStrDocPropVplyvNaInformatizaciu">
    <vt:lpwstr>Žiadne</vt:lpwstr>
  </property>
  <property fmtid="{D5CDD505-2E9C-101B-9397-08002B2CF9AE}" pid="65" name="FSC#SKEDITIONSLOVLEX@103.510:AttrStrListDocPropPoznamkaVplyv">
    <vt:lpwstr>&lt;p style="text-align: justify;"&gt;Samotný predkladaný materiál nemá vplyv na podnikateľské prostredie. Výrazný pozitívny vplyv na podnikateľské prostredie v&amp;nbsp;podobe znižovania regulačných nákladov sa očakáva až po zavedení a&amp;nbsp;uplatňovaní mechanizmu</vt:lpwstr>
  </property>
  <property fmtid="{D5CDD505-2E9C-101B-9397-08002B2CF9AE}" pid="66" name="FSC#SKEDITIONSLOVLEX@103.510:AttrStrListDocPropAltRiesenia">
    <vt:lpwstr>Alternatívnym riešením je nulový variant, t. j. ponechanie súčasného stavu bez zmien, technických upresnení a bez zavedenia princípu „one in – two out“. Uplatnenie nulového variantu by v praxi znamenalo nezastavenie zvyšovania regulačných nákladov pre pod</vt:lpwstr>
  </property>
  <property fmtid="{D5CDD505-2E9C-101B-9397-08002B2CF9AE}" pid="67" name="FSC#SKEDITIONSLOVLEX@103.510:AttrStrListDocPropStanoviskoGest">
    <vt:lpwstr/>
  </property>
  <property fmtid="{D5CDD505-2E9C-101B-9397-08002B2CF9AE}" pid="68" name="FSC#SKEDITIONSLOVLEX@103.510:AttrStrListDocPropTextKomunike">
    <vt:lpwstr/>
  </property>
  <property fmtid="{D5CDD505-2E9C-101B-9397-08002B2CF9AE}" pid="69" name="FSC#SKEDITIONSLOVLEX@103.510:AttrStrListDocPropUznesenieCastA">
    <vt:lpwstr/>
  </property>
  <property fmtid="{D5CDD505-2E9C-101B-9397-08002B2CF9AE}" pid="70" name="FSC#SKEDITIONSLOVLEX@103.510:AttrStrListDocPropUznesenieZodpovednyA1">
    <vt:lpwstr/>
  </property>
  <property fmtid="{D5CDD505-2E9C-101B-9397-08002B2CF9AE}" pid="71" name="FSC#SKEDITIONSLOVLEX@103.510:AttrStrListDocPropUznesenieTextA1">
    <vt:lpwstr/>
  </property>
  <property fmtid="{D5CDD505-2E9C-101B-9397-08002B2CF9AE}" pid="72" name="FSC#SKEDITIONSLOVLEX@103.510:AttrStrListDocPropUznesenieTerminA1">
    <vt:lpwstr/>
  </property>
  <property fmtid="{D5CDD505-2E9C-101B-9397-08002B2CF9AE}" pid="73" name="FSC#SKEDITIONSLOVLEX@103.510:AttrStrListDocPropUznesenieBODA1">
    <vt:lpwstr/>
  </property>
  <property fmtid="{D5CDD505-2E9C-101B-9397-08002B2CF9AE}" pid="74" name="FSC#SKEDITIONSLOVLEX@103.510:AttrStrListDocPropUznesenieZodpovednyA2">
    <vt:lpwstr/>
  </property>
  <property fmtid="{D5CDD505-2E9C-101B-9397-08002B2CF9AE}" pid="75" name="FSC#SKEDITIONSLOVLEX@103.510:AttrStrListDocPropUznesenieTextA2">
    <vt:lpwstr/>
  </property>
  <property fmtid="{D5CDD505-2E9C-101B-9397-08002B2CF9AE}" pid="76" name="FSC#SKEDITIONSLOVLEX@103.510:AttrStrListDocPropUznesenieTerminA2">
    <vt:lpwstr/>
  </property>
  <property fmtid="{D5CDD505-2E9C-101B-9397-08002B2CF9AE}" pid="77" name="FSC#SKEDITIONSLOVLEX@103.510:AttrStrListDocPropUznesenieBODA3">
    <vt:lpwstr/>
  </property>
  <property fmtid="{D5CDD505-2E9C-101B-9397-08002B2CF9AE}" pid="78" name="FSC#SKEDITIONSLOVLEX@103.510:AttrStrListDocPropUznesenieZodpovednyA3">
    <vt:lpwstr/>
  </property>
  <property fmtid="{D5CDD505-2E9C-101B-9397-08002B2CF9AE}" pid="79" name="FSC#SKEDITIONSLOVLEX@103.510:AttrStrListDocPropUznesenieTextA3">
    <vt:lpwstr/>
  </property>
  <property fmtid="{D5CDD505-2E9C-101B-9397-08002B2CF9AE}" pid="80" name="FSC#SKEDITIONSLOVLEX@103.510:AttrStrListDocPropUznesenieTerminA3">
    <vt:lpwstr/>
  </property>
  <property fmtid="{D5CDD505-2E9C-101B-9397-08002B2CF9AE}" pid="81" name="FSC#SKEDITIONSLOVLEX@103.510:AttrStrListDocPropUznesenieBODA4">
    <vt:lpwstr/>
  </property>
  <property fmtid="{D5CDD505-2E9C-101B-9397-08002B2CF9AE}" pid="82" name="FSC#SKEDITIONSLOVLEX@103.510:AttrStrListDocPropUznesenieZodpovednyA4">
    <vt:lpwstr/>
  </property>
  <property fmtid="{D5CDD505-2E9C-101B-9397-08002B2CF9AE}" pid="83" name="FSC#SKEDITIONSLOVLEX@103.510:AttrStrListDocPropUznesenieTextA4">
    <vt:lpwstr/>
  </property>
  <property fmtid="{D5CDD505-2E9C-101B-9397-08002B2CF9AE}" pid="84" name="FSC#SKEDITIONSLOVLEX@103.510:AttrStrListDocPropUznesenieTerminA4">
    <vt:lpwstr/>
  </property>
  <property fmtid="{D5CDD505-2E9C-101B-9397-08002B2CF9AE}" pid="85" name="FSC#SKEDITIONSLOVLEX@103.510:AttrStrListDocPropUznesenieCastB">
    <vt:lpwstr/>
  </property>
  <property fmtid="{D5CDD505-2E9C-101B-9397-08002B2CF9AE}" pid="86" name="FSC#SKEDITIONSLOVLEX@103.510:AttrStrListDocPropUznesenieBODB1">
    <vt:lpwstr/>
  </property>
  <property fmtid="{D5CDD505-2E9C-101B-9397-08002B2CF9AE}" pid="87" name="FSC#SKEDITIONSLOVLEX@103.510:AttrStrListDocPropUznesenieZodpovednyB1">
    <vt:lpwstr/>
  </property>
  <property fmtid="{D5CDD505-2E9C-101B-9397-08002B2CF9AE}" pid="88" name="FSC#SKEDITIONSLOVLEX@103.510:AttrStrListDocPropUznesenieTextB1">
    <vt:lpwstr/>
  </property>
  <property fmtid="{D5CDD505-2E9C-101B-9397-08002B2CF9AE}" pid="89" name="FSC#SKEDITIONSLOVLEX@103.510:AttrStrListDocPropUznesenieTerminB1">
    <vt:lpwstr/>
  </property>
  <property fmtid="{D5CDD505-2E9C-101B-9397-08002B2CF9AE}" pid="90" name="FSC#SKEDITIONSLOVLEX@103.510:AttrStrListDocPropUznesenieBODB2">
    <vt:lpwstr/>
  </property>
  <property fmtid="{D5CDD505-2E9C-101B-9397-08002B2CF9AE}" pid="91" name="FSC#SKEDITIONSLOVLEX@103.510:AttrStrListDocPropUznesenieZodpovednyB2">
    <vt:lpwstr/>
  </property>
  <property fmtid="{D5CDD505-2E9C-101B-9397-08002B2CF9AE}" pid="92" name="FSC#SKEDITIONSLOVLEX@103.510:AttrStrListDocPropUznesenieTextB2">
    <vt:lpwstr/>
  </property>
  <property fmtid="{D5CDD505-2E9C-101B-9397-08002B2CF9AE}" pid="93" name="FSC#SKEDITIONSLOVLEX@103.510:AttrStrListDocPropUznesenieTerminB2">
    <vt:lpwstr/>
  </property>
  <property fmtid="{D5CDD505-2E9C-101B-9397-08002B2CF9AE}" pid="94" name="FSC#SKEDITIONSLOVLEX@103.510:AttrStrListDocPropUznesenieBODB3">
    <vt:lpwstr/>
  </property>
  <property fmtid="{D5CDD505-2E9C-101B-9397-08002B2CF9AE}" pid="95" name="FSC#SKEDITIONSLOVLEX@103.510:AttrStrListDocPropUznesenieZodpovednyB3">
    <vt:lpwstr/>
  </property>
  <property fmtid="{D5CDD505-2E9C-101B-9397-08002B2CF9AE}" pid="96" name="FSC#SKEDITIONSLOVLEX@103.510:AttrStrListDocPropUznesenieTextB3">
    <vt:lpwstr/>
  </property>
  <property fmtid="{D5CDD505-2E9C-101B-9397-08002B2CF9AE}" pid="97" name="FSC#SKEDITIONSLOVLEX@103.510:AttrStrListDocPropUznesenieTerminB3">
    <vt:lpwstr/>
  </property>
  <property fmtid="{D5CDD505-2E9C-101B-9397-08002B2CF9AE}" pid="98" name="FSC#SKEDITIONSLOVLEX@103.510:AttrStrListDocPropUznesenieBODB4">
    <vt:lpwstr/>
  </property>
  <property fmtid="{D5CDD505-2E9C-101B-9397-08002B2CF9AE}" pid="99" name="FSC#SKEDITIONSLOVLEX@103.510:AttrStrListDocPropUznesenieZodpovednyB4">
    <vt:lpwstr/>
  </property>
  <property fmtid="{D5CDD505-2E9C-101B-9397-08002B2CF9AE}" pid="100" name="FSC#SKEDITIONSLOVLEX@103.510:AttrStrListDocPropUznesenieTextB4">
    <vt:lpwstr/>
  </property>
  <property fmtid="{D5CDD505-2E9C-101B-9397-08002B2CF9AE}" pid="101" name="FSC#SKEDITIONSLOVLEX@103.510:AttrStrListDocPropUznesenieTerminB4">
    <vt:lpwstr/>
  </property>
  <property fmtid="{D5CDD505-2E9C-101B-9397-08002B2CF9AE}" pid="102" name="FSC#SKEDITIONSLOVLEX@103.510:AttrStrListDocPropUznesenieCastC">
    <vt:lpwstr/>
  </property>
  <property fmtid="{D5CDD505-2E9C-101B-9397-08002B2CF9AE}" pid="103" name="FSC#SKEDITIONSLOVLEX@103.510:AttrStrListDocPropUznesenieBODC1">
    <vt:lpwstr/>
  </property>
  <property fmtid="{D5CDD505-2E9C-101B-9397-08002B2CF9AE}" pid="104" name="FSC#SKEDITIONSLOVLEX@103.510:AttrStrListDocPropUznesenieZodpovednyC1">
    <vt:lpwstr/>
  </property>
  <property fmtid="{D5CDD505-2E9C-101B-9397-08002B2CF9AE}" pid="105" name="FSC#SKEDITIONSLOVLEX@103.510:AttrStrListDocPropUznesenieTextC1">
    <vt:lpwstr/>
  </property>
  <property fmtid="{D5CDD505-2E9C-101B-9397-08002B2CF9AE}" pid="106" name="FSC#SKEDITIONSLOVLEX@103.510:AttrStrListDocPropUznesenieTerminC1">
    <vt:lpwstr/>
  </property>
  <property fmtid="{D5CDD505-2E9C-101B-9397-08002B2CF9AE}" pid="107" name="FSC#SKEDITIONSLOVLEX@103.510:AttrStrListDocPropUznesenieBODC2">
    <vt:lpwstr/>
  </property>
  <property fmtid="{D5CDD505-2E9C-101B-9397-08002B2CF9AE}" pid="108" name="FSC#SKEDITIONSLOVLEX@103.510:AttrStrListDocPropUznesenieZodpovednyC2">
    <vt:lpwstr/>
  </property>
  <property fmtid="{D5CDD505-2E9C-101B-9397-08002B2CF9AE}" pid="109" name="FSC#SKEDITIONSLOVLEX@103.510:AttrStrListDocPropUznesenieTextC2">
    <vt:lpwstr/>
  </property>
  <property fmtid="{D5CDD505-2E9C-101B-9397-08002B2CF9AE}" pid="110" name="FSC#SKEDITIONSLOVLEX@103.510:AttrStrListDocPropUznesenieTerminC2">
    <vt:lpwstr/>
  </property>
  <property fmtid="{D5CDD505-2E9C-101B-9397-08002B2CF9AE}" pid="111" name="FSC#SKEDITIONSLOVLEX@103.510:AttrStrListDocPropUznesenieBODC3">
    <vt:lpwstr/>
  </property>
  <property fmtid="{D5CDD505-2E9C-101B-9397-08002B2CF9AE}" pid="112" name="FSC#SKEDITIONSLOVLEX@103.510:AttrStrListDocPropUznesenieZodpovednyC3">
    <vt:lpwstr/>
  </property>
  <property fmtid="{D5CDD505-2E9C-101B-9397-08002B2CF9AE}" pid="113" name="FSC#SKEDITIONSLOVLEX@103.510:AttrStrListDocPropUznesenieTextC3">
    <vt:lpwstr/>
  </property>
  <property fmtid="{D5CDD505-2E9C-101B-9397-08002B2CF9AE}" pid="114" name="FSC#SKEDITIONSLOVLEX@103.510:AttrStrListDocPropUznesenieTerminC3">
    <vt:lpwstr/>
  </property>
  <property fmtid="{D5CDD505-2E9C-101B-9397-08002B2CF9AE}" pid="115" name="FSC#SKEDITIONSLOVLEX@103.510:AttrStrListDocPropUznesenieBODC4">
    <vt:lpwstr/>
  </property>
  <property fmtid="{D5CDD505-2E9C-101B-9397-08002B2CF9AE}" pid="116" name="FSC#SKEDITIONSLOVLEX@103.510:AttrStrListDocPropUznesenieZodpovednyC4">
    <vt:lpwstr/>
  </property>
  <property fmtid="{D5CDD505-2E9C-101B-9397-08002B2CF9AE}" pid="117" name="FSC#SKEDITIONSLOVLEX@103.510:AttrStrListDocPropUznesenieTextC4">
    <vt:lpwstr/>
  </property>
  <property fmtid="{D5CDD505-2E9C-101B-9397-08002B2CF9AE}" pid="118" name="FSC#SKEDITIONSLOVLEX@103.510:AttrStrListDocPropUznesenieTerminC4">
    <vt:lpwstr/>
  </property>
  <property fmtid="{D5CDD505-2E9C-101B-9397-08002B2CF9AE}" pid="119" name="FSC#SKEDITIONSLOVLEX@103.510:AttrStrListDocPropUznesenieCastD">
    <vt:lpwstr/>
  </property>
  <property fmtid="{D5CDD505-2E9C-101B-9397-08002B2CF9AE}" pid="120" name="FSC#SKEDITIONSLOVLEX@103.510:AttrStrListDocPropUznesenieBODD1">
    <vt:lpwstr/>
  </property>
  <property fmtid="{D5CDD505-2E9C-101B-9397-08002B2CF9AE}" pid="121" name="FSC#SKEDITIONSLOVLEX@103.510:AttrStrListDocPropUznesenieZodpovednyD1">
    <vt:lpwstr/>
  </property>
  <property fmtid="{D5CDD505-2E9C-101B-9397-08002B2CF9AE}" pid="122" name="FSC#SKEDITIONSLOVLEX@103.510:AttrStrListDocPropUznesenieTextD1">
    <vt:lpwstr/>
  </property>
  <property fmtid="{D5CDD505-2E9C-101B-9397-08002B2CF9AE}" pid="123" name="FSC#SKEDITIONSLOVLEX@103.510:AttrStrListDocPropUznesenieTerminD1">
    <vt:lpwstr/>
  </property>
  <property fmtid="{D5CDD505-2E9C-101B-9397-08002B2CF9AE}" pid="124" name="FSC#SKEDITIONSLOVLEX@103.510:AttrStrListDocPropUznesenieBODD2">
    <vt:lpwstr/>
  </property>
  <property fmtid="{D5CDD505-2E9C-101B-9397-08002B2CF9AE}" pid="125" name="FSC#SKEDITIONSLOVLEX@103.510:AttrStrListDocPropUznesenieZodpovednyD2">
    <vt:lpwstr/>
  </property>
  <property fmtid="{D5CDD505-2E9C-101B-9397-08002B2CF9AE}" pid="126" name="FSC#SKEDITIONSLOVLEX@103.510:AttrStrListDocPropUznesenieTextD2">
    <vt:lpwstr/>
  </property>
  <property fmtid="{D5CDD505-2E9C-101B-9397-08002B2CF9AE}" pid="127" name="FSC#SKEDITIONSLOVLEX@103.510:AttrStrListDocPropUznesenieTerminD2">
    <vt:lpwstr/>
  </property>
  <property fmtid="{D5CDD505-2E9C-101B-9397-08002B2CF9AE}" pid="128" name="FSC#SKEDITIONSLOVLEX@103.510:AttrStrListDocPropUznesenieBODD3">
    <vt:lpwstr/>
  </property>
  <property fmtid="{D5CDD505-2E9C-101B-9397-08002B2CF9AE}" pid="129" name="FSC#SKEDITIONSLOVLEX@103.510:AttrStrListDocPropUznesenieZodpovednyD3">
    <vt:lpwstr/>
  </property>
  <property fmtid="{D5CDD505-2E9C-101B-9397-08002B2CF9AE}" pid="130" name="FSC#SKEDITIONSLOVLEX@103.510:AttrStrListDocPropUznesenieTextD3">
    <vt:lpwstr/>
  </property>
  <property fmtid="{D5CDD505-2E9C-101B-9397-08002B2CF9AE}" pid="131" name="FSC#SKEDITIONSLOVLEX@103.510:AttrStrListDocPropUznesenieTerminD3">
    <vt:lpwstr/>
  </property>
  <property fmtid="{D5CDD505-2E9C-101B-9397-08002B2CF9AE}" pid="132" name="FSC#SKEDITIONSLOVLEX@103.510:AttrStrListDocPropUznesenieBODD4">
    <vt:lpwstr/>
  </property>
  <property fmtid="{D5CDD505-2E9C-101B-9397-08002B2CF9AE}" pid="133" name="FSC#SKEDITIONSLOVLEX@103.510:AttrStrListDocPropUznesenieZodpovednyD4">
    <vt:lpwstr/>
  </property>
  <property fmtid="{D5CDD505-2E9C-101B-9397-08002B2CF9AE}" pid="134" name="FSC#SKEDITIONSLOVLEX@103.510:AttrStrListDocPropUznesenieTextD4">
    <vt:lpwstr/>
  </property>
  <property fmtid="{D5CDD505-2E9C-101B-9397-08002B2CF9AE}" pid="135" name="FSC#SKEDITIONSLOVLEX@103.510:AttrStrListDocPropUznesenieTerminD4">
    <vt:lpwstr/>
  </property>
  <property fmtid="{D5CDD505-2E9C-101B-9397-08002B2CF9AE}" pid="136" name="FSC#SKEDITIONSLOVLEX@103.510:AttrStrListDocPropUznesenieVykonaju">
    <vt:lpwstr>podpredseda vlády a minister hospodárstva  _x000d_
členovia vlády_x000d_
predsedovia ostatných ústredných orgánov štátnej správy</vt:lpwstr>
  </property>
  <property fmtid="{D5CDD505-2E9C-101B-9397-08002B2CF9AE}" pid="137" name="FSC#SKEDITIONSLOVLEX@103.510:AttrStrListDocPropUznesenieNaVedomie">
    <vt:lpwstr/>
  </property>
  <property fmtid="{D5CDD505-2E9C-101B-9397-08002B2CF9AE}" pid="138" name="FSC#SKEDITIONSLOVLEX@103.510:funkciaPred">
    <vt:lpwstr/>
  </property>
  <property fmtid="{D5CDD505-2E9C-101B-9397-08002B2CF9AE}" pid="139" name="FSC#SKEDITIONSLOVLEX@103.510:funkciaPredAkuzativ">
    <vt:lpwstr/>
  </property>
  <property fmtid="{D5CDD505-2E9C-101B-9397-08002B2CF9AE}" pid="140" name="FSC#SKEDITIONSLOVLEX@103.510:funkciaPredDativ">
    <vt:lpwstr/>
  </property>
  <property fmtid="{D5CDD505-2E9C-101B-9397-08002B2CF9AE}" pid="141" name="FSC#SKEDITIONSLOVLEX@103.510:funkciaZodpPred">
    <vt:lpwstr>minister hospodárstva Slovenskej republiky</vt:lpwstr>
  </property>
  <property fmtid="{D5CDD505-2E9C-101B-9397-08002B2CF9AE}" pid="142" name="FSC#SKEDITIONSLOVLEX@103.510:funkciaZodpPredAkuzativ">
    <vt:lpwstr>ministra hospodárstva Slovenskej republiky</vt:lpwstr>
  </property>
  <property fmtid="{D5CDD505-2E9C-101B-9397-08002B2CF9AE}" pid="143" name="FSC#SKEDITIONSLOVLEX@103.510:funkciaZodpPredDativ">
    <vt:lpwstr>ministrovi hospodárstva Slovenskej republiky</vt:lpwstr>
  </property>
  <property fmtid="{D5CDD505-2E9C-101B-9397-08002B2CF9AE}" pid="144" name="FSC#SKEDITIONSLOVLEX@103.510:funkciaDalsiPred">
    <vt:lpwstr/>
  </property>
  <property fmtid="{D5CDD505-2E9C-101B-9397-08002B2CF9AE}" pid="145" name="FSC#SKEDITIONSLOVLEX@103.510:funkciaDalsiPredAkuzativ">
    <vt:lpwstr/>
  </property>
  <property fmtid="{D5CDD505-2E9C-101B-9397-08002B2CF9AE}" pid="146" name="FSC#SKEDITIONSLOVLEX@103.510:funkciaDalsiPredDativ">
    <vt:lpwstr/>
  </property>
  <property fmtid="{D5CDD505-2E9C-101B-9397-08002B2CF9AE}" pid="147" name="FSC#SKEDITIONSLOVLEX@103.510:predkladateliaObalSD">
    <vt:lpwstr>Ing. Richard Sulík_x000d_
minister hospodárstva Slovenskej republiky</vt:lpwstr>
  </property>
  <property fmtid="{D5CDD505-2E9C-101B-9397-08002B2CF9AE}" pid="148" name="FSC#SKEDITIONSLOVLEX@103.510:AttrStrListDocPropTextVseobPrilohy">
    <vt:lpwstr/>
  </property>
  <property fmtid="{D5CDD505-2E9C-101B-9397-08002B2CF9AE}" pid="149" name="FSC#SKEDITIONSLOVLEX@103.510:AttrStrListDocPropTextPredklSpravy">
    <vt:lpwstr>&lt;p style="text-align: justify;"&gt;Po vzore dobrých príkladov z iných krajín a v súlade s plánmi Európskej komisie sa vláda SR zaviazala v Programovom vyhlásení zaviesť princíp „one in – one out“ s účinnosťou &amp;nbsp;od 1.&amp;nbsp;1. 2021 a princíp „one in - two</vt:lpwstr>
  </property>
  <property fmtid="{D5CDD505-2E9C-101B-9397-08002B2CF9AE}" pid="150" name="FSC#SKEDITIONSLOVLEX@103.510:vytvorenedna">
    <vt:lpwstr>4. 11. 2020</vt:lpwstr>
  </property>
  <property fmtid="{D5CDD505-2E9C-101B-9397-08002B2CF9AE}" pid="151" name="FSC#COOSYSTEM@1.1:Container">
    <vt:lpwstr>COO.2145.1000.3.4081373</vt:lpwstr>
  </property>
  <property fmtid="{D5CDD505-2E9C-101B-9397-08002B2CF9AE}" pid="152" name="FSC#FSCFOLIO@1.1001:docpropproject">
    <vt:lpwstr/>
  </property>
</Properties>
</file>